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780BE" w14:textId="2AE2F764" w:rsidR="00017D4E" w:rsidRPr="00017D4E" w:rsidRDefault="00010389" w:rsidP="00EC7448">
      <w:pPr>
        <w:spacing w:after="0"/>
        <w:jc w:val="both"/>
        <w:rPr>
          <w:rFonts w:asciiTheme="majorHAnsi" w:hAnsiTheme="majorHAnsi"/>
          <w:b/>
          <w:sz w:val="24"/>
          <w:szCs w:val="24"/>
        </w:rPr>
      </w:pPr>
      <w:proofErr w:type="spellStart"/>
      <w:r>
        <w:rPr>
          <w:rFonts w:asciiTheme="majorHAnsi" w:hAnsiTheme="majorHAnsi"/>
          <w:b/>
          <w:sz w:val="24"/>
          <w:szCs w:val="24"/>
        </w:rPr>
        <w:t>Kwaremont</w:t>
      </w:r>
      <w:proofErr w:type="spellEnd"/>
      <w:r w:rsidR="000175A5">
        <w:rPr>
          <w:rFonts w:asciiTheme="majorHAnsi" w:hAnsiTheme="majorHAnsi"/>
          <w:b/>
          <w:sz w:val="24"/>
          <w:szCs w:val="24"/>
        </w:rPr>
        <w:t xml:space="preserve"> Sint-</w:t>
      </w:r>
      <w:proofErr w:type="spellStart"/>
      <w:r w:rsidR="000175A5">
        <w:rPr>
          <w:rFonts w:asciiTheme="majorHAnsi" w:hAnsiTheme="majorHAnsi"/>
          <w:b/>
          <w:sz w:val="24"/>
          <w:szCs w:val="24"/>
        </w:rPr>
        <w:t>A</w:t>
      </w:r>
      <w:r>
        <w:rPr>
          <w:rFonts w:asciiTheme="majorHAnsi" w:hAnsiTheme="majorHAnsi"/>
          <w:b/>
          <w:sz w:val="24"/>
          <w:szCs w:val="24"/>
        </w:rPr>
        <w:t>mandus</w:t>
      </w:r>
      <w:r w:rsidR="000175A5">
        <w:rPr>
          <w:rFonts w:asciiTheme="majorHAnsi" w:hAnsiTheme="majorHAnsi"/>
          <w:b/>
          <w:sz w:val="24"/>
          <w:szCs w:val="24"/>
        </w:rPr>
        <w:t>kerk</w:t>
      </w:r>
      <w:proofErr w:type="spellEnd"/>
      <w:r w:rsidR="00017D4E" w:rsidRPr="00017D4E">
        <w:rPr>
          <w:rFonts w:asciiTheme="majorHAnsi" w:hAnsiTheme="majorHAnsi"/>
          <w:b/>
          <w:sz w:val="24"/>
          <w:szCs w:val="24"/>
        </w:rPr>
        <w:t xml:space="preserve"> </w:t>
      </w:r>
      <w:proofErr w:type="spellStart"/>
      <w:r w:rsidR="00017D4E" w:rsidRPr="00017D4E">
        <w:rPr>
          <w:rFonts w:asciiTheme="majorHAnsi" w:hAnsiTheme="majorHAnsi"/>
          <w:b/>
          <w:sz w:val="24"/>
          <w:szCs w:val="24"/>
        </w:rPr>
        <w:t>Inhumatieonderzoek</w:t>
      </w:r>
      <w:proofErr w:type="spellEnd"/>
      <w:r w:rsidR="00017D4E" w:rsidRPr="00017D4E">
        <w:rPr>
          <w:rFonts w:asciiTheme="majorHAnsi" w:hAnsiTheme="majorHAnsi"/>
          <w:b/>
          <w:sz w:val="24"/>
          <w:szCs w:val="24"/>
        </w:rPr>
        <w:t xml:space="preserve"> </w:t>
      </w:r>
    </w:p>
    <w:p w14:paraId="3632BAD0" w14:textId="77777777" w:rsidR="00017D4E" w:rsidRPr="00017D4E" w:rsidRDefault="00017D4E" w:rsidP="00EC7448">
      <w:pPr>
        <w:spacing w:after="0"/>
        <w:jc w:val="both"/>
        <w:rPr>
          <w:rFonts w:asciiTheme="majorHAnsi" w:hAnsiTheme="majorHAnsi"/>
          <w:i/>
          <w:sz w:val="24"/>
          <w:szCs w:val="24"/>
        </w:rPr>
      </w:pPr>
      <w:r w:rsidRPr="00017D4E">
        <w:rPr>
          <w:rFonts w:asciiTheme="majorHAnsi" w:hAnsiTheme="majorHAnsi"/>
          <w:i/>
          <w:sz w:val="24"/>
          <w:szCs w:val="24"/>
        </w:rPr>
        <w:t>A. Pijpelink</w:t>
      </w:r>
    </w:p>
    <w:p w14:paraId="53358378" w14:textId="77777777" w:rsidR="001A135D" w:rsidRPr="00017D4E" w:rsidRDefault="001A135D" w:rsidP="00EC7448">
      <w:pPr>
        <w:spacing w:after="0"/>
        <w:jc w:val="both"/>
        <w:rPr>
          <w:rFonts w:asciiTheme="majorHAnsi" w:hAnsiTheme="majorHAnsi"/>
          <w:sz w:val="24"/>
          <w:szCs w:val="24"/>
        </w:rPr>
      </w:pPr>
    </w:p>
    <w:p w14:paraId="47017E7E" w14:textId="77777777" w:rsidR="00842CE6" w:rsidRPr="00842CE6" w:rsidRDefault="00842CE6" w:rsidP="00EC7448">
      <w:pPr>
        <w:spacing w:after="0"/>
        <w:jc w:val="both"/>
        <w:rPr>
          <w:rFonts w:asciiTheme="majorHAnsi" w:hAnsiTheme="majorHAnsi"/>
          <w:b/>
          <w:sz w:val="24"/>
          <w:szCs w:val="24"/>
        </w:rPr>
      </w:pPr>
      <w:r w:rsidRPr="00842CE6">
        <w:rPr>
          <w:rFonts w:asciiTheme="majorHAnsi" w:hAnsiTheme="majorHAnsi"/>
          <w:b/>
          <w:sz w:val="24"/>
          <w:szCs w:val="24"/>
        </w:rPr>
        <w:t>Inleiding</w:t>
      </w:r>
    </w:p>
    <w:p w14:paraId="1F5E70D5" w14:textId="77777777" w:rsidR="00842CE6" w:rsidRDefault="00842CE6" w:rsidP="00EC7448">
      <w:pPr>
        <w:spacing w:after="0"/>
        <w:jc w:val="both"/>
        <w:rPr>
          <w:rFonts w:asciiTheme="majorHAnsi" w:hAnsiTheme="majorHAnsi"/>
          <w:sz w:val="24"/>
          <w:szCs w:val="24"/>
        </w:rPr>
      </w:pPr>
    </w:p>
    <w:p w14:paraId="27EDC09A" w14:textId="77777777" w:rsidR="009D163E" w:rsidRDefault="00F30612" w:rsidP="00EC7448">
      <w:pPr>
        <w:spacing w:after="0"/>
        <w:jc w:val="both"/>
        <w:rPr>
          <w:rFonts w:asciiTheme="majorHAnsi" w:hAnsiTheme="majorHAnsi"/>
          <w:sz w:val="24"/>
          <w:szCs w:val="24"/>
        </w:rPr>
      </w:pPr>
      <w:r>
        <w:rPr>
          <w:rFonts w:asciiTheme="majorHAnsi" w:hAnsiTheme="majorHAnsi"/>
          <w:sz w:val="24"/>
          <w:szCs w:val="24"/>
        </w:rPr>
        <w:t xml:space="preserve">Tijdens de opgraving zijn </w:t>
      </w:r>
      <w:r w:rsidR="00010389">
        <w:rPr>
          <w:rFonts w:asciiTheme="majorHAnsi" w:hAnsiTheme="majorHAnsi"/>
          <w:sz w:val="24"/>
          <w:szCs w:val="24"/>
        </w:rPr>
        <w:t>de resten van veertien individuen</w:t>
      </w:r>
      <w:r>
        <w:rPr>
          <w:rFonts w:asciiTheme="majorHAnsi" w:hAnsiTheme="majorHAnsi"/>
          <w:sz w:val="24"/>
          <w:szCs w:val="24"/>
        </w:rPr>
        <w:t xml:space="preserve"> aan het licht gekomen</w:t>
      </w:r>
      <w:r w:rsidR="00010389">
        <w:rPr>
          <w:rFonts w:asciiTheme="majorHAnsi" w:hAnsiTheme="majorHAnsi"/>
          <w:sz w:val="24"/>
          <w:szCs w:val="24"/>
        </w:rPr>
        <w:t>. Mede a</w:t>
      </w:r>
      <w:r>
        <w:rPr>
          <w:rFonts w:asciiTheme="majorHAnsi" w:hAnsiTheme="majorHAnsi"/>
          <w:sz w:val="24"/>
          <w:szCs w:val="24"/>
        </w:rPr>
        <w:t xml:space="preserve">ls gevolg van de kleine afmetingen van de werkput zijn </w:t>
      </w:r>
      <w:r w:rsidR="00010389">
        <w:rPr>
          <w:rFonts w:asciiTheme="majorHAnsi" w:hAnsiTheme="majorHAnsi"/>
          <w:sz w:val="24"/>
          <w:szCs w:val="24"/>
        </w:rPr>
        <w:t>alle individuen</w:t>
      </w:r>
      <w:r>
        <w:rPr>
          <w:rFonts w:asciiTheme="majorHAnsi" w:hAnsiTheme="majorHAnsi"/>
          <w:sz w:val="24"/>
          <w:szCs w:val="24"/>
        </w:rPr>
        <w:t xml:space="preserve"> onvolledig. </w:t>
      </w:r>
      <w:r w:rsidR="00010389">
        <w:rPr>
          <w:rFonts w:asciiTheme="majorHAnsi" w:hAnsiTheme="majorHAnsi"/>
          <w:sz w:val="24"/>
          <w:szCs w:val="24"/>
        </w:rPr>
        <w:t xml:space="preserve">Alle </w:t>
      </w:r>
      <w:r>
        <w:rPr>
          <w:rFonts w:asciiTheme="majorHAnsi" w:hAnsiTheme="majorHAnsi"/>
          <w:sz w:val="24"/>
          <w:szCs w:val="24"/>
        </w:rPr>
        <w:t xml:space="preserve">individuen </w:t>
      </w:r>
      <w:r w:rsidR="00582EAC" w:rsidRPr="000175A5">
        <w:rPr>
          <w:rFonts w:asciiTheme="majorHAnsi" w:hAnsiTheme="majorHAnsi"/>
          <w:sz w:val="24"/>
          <w:szCs w:val="24"/>
        </w:rPr>
        <w:t>lagen in een west-oost oriëntatie begraven volgens Christelijke traditie, met het hoofd in het westen en de voeten in het oosten</w:t>
      </w:r>
      <w:r w:rsidR="00010389">
        <w:rPr>
          <w:rFonts w:asciiTheme="majorHAnsi" w:hAnsiTheme="majorHAnsi"/>
          <w:sz w:val="24"/>
          <w:szCs w:val="24"/>
        </w:rPr>
        <w:t>, op één individu na (S80)</w:t>
      </w:r>
      <w:r w:rsidR="00582EAC" w:rsidRPr="000175A5">
        <w:rPr>
          <w:rFonts w:asciiTheme="majorHAnsi" w:hAnsiTheme="majorHAnsi"/>
          <w:sz w:val="24"/>
          <w:szCs w:val="24"/>
        </w:rPr>
        <w:t>.</w:t>
      </w:r>
      <w:r w:rsidR="000175A5">
        <w:rPr>
          <w:rFonts w:asciiTheme="majorHAnsi" w:hAnsiTheme="majorHAnsi"/>
          <w:sz w:val="24"/>
          <w:szCs w:val="24"/>
        </w:rPr>
        <w:t xml:space="preserve"> </w:t>
      </w:r>
      <w:r w:rsidR="00010389">
        <w:rPr>
          <w:rFonts w:asciiTheme="majorHAnsi" w:hAnsiTheme="majorHAnsi"/>
          <w:sz w:val="24"/>
          <w:szCs w:val="24"/>
        </w:rPr>
        <w:t>Daarnaast lag het individu van S38 op de buik begraven</w:t>
      </w:r>
      <w:r w:rsidR="009D163E">
        <w:rPr>
          <w:rFonts w:asciiTheme="majorHAnsi" w:hAnsiTheme="majorHAnsi"/>
          <w:sz w:val="24"/>
          <w:szCs w:val="24"/>
        </w:rPr>
        <w:t>. S38 en S80 zijn geselecteerd voor verder onderzoek omdat deze graven afwijken van de rest van de aangetroffen skeletten.</w:t>
      </w:r>
    </w:p>
    <w:p w14:paraId="043F92A4" w14:textId="77777777" w:rsidR="000175A5" w:rsidRDefault="000175A5" w:rsidP="00EC7448">
      <w:pPr>
        <w:spacing w:after="0"/>
        <w:jc w:val="both"/>
        <w:rPr>
          <w:rFonts w:asciiTheme="majorHAnsi" w:hAnsiTheme="majorHAnsi"/>
          <w:sz w:val="24"/>
          <w:szCs w:val="24"/>
        </w:rPr>
      </w:pPr>
    </w:p>
    <w:p w14:paraId="6B44B44F" w14:textId="412537FD" w:rsidR="005535F3" w:rsidRDefault="00D57FA0" w:rsidP="00EC7448">
      <w:pPr>
        <w:spacing w:after="0"/>
        <w:jc w:val="both"/>
        <w:rPr>
          <w:rFonts w:ascii="Cambria" w:hAnsi="Cambria"/>
          <w:sz w:val="24"/>
          <w:lang w:eastAsia="nl-NL"/>
        </w:rPr>
      </w:pPr>
      <w:r>
        <w:rPr>
          <w:rFonts w:asciiTheme="majorHAnsi" w:hAnsiTheme="majorHAnsi"/>
          <w:sz w:val="24"/>
          <w:szCs w:val="24"/>
        </w:rPr>
        <w:t xml:space="preserve">Alle </w:t>
      </w:r>
      <w:r w:rsidR="00F30612">
        <w:rPr>
          <w:rFonts w:asciiTheme="majorHAnsi" w:hAnsiTheme="majorHAnsi"/>
          <w:sz w:val="24"/>
          <w:szCs w:val="24"/>
        </w:rPr>
        <w:t>twee</w:t>
      </w:r>
      <w:r w:rsidR="000175A5">
        <w:rPr>
          <w:rFonts w:asciiTheme="majorHAnsi" w:hAnsiTheme="majorHAnsi"/>
          <w:sz w:val="24"/>
          <w:szCs w:val="24"/>
        </w:rPr>
        <w:t xml:space="preserve"> </w:t>
      </w:r>
      <w:r w:rsidR="00F30612">
        <w:rPr>
          <w:rFonts w:asciiTheme="majorHAnsi" w:hAnsiTheme="majorHAnsi"/>
          <w:sz w:val="24"/>
          <w:szCs w:val="24"/>
        </w:rPr>
        <w:t>de</w:t>
      </w:r>
      <w:r w:rsidR="00D92F73">
        <w:rPr>
          <w:rFonts w:asciiTheme="majorHAnsi" w:hAnsiTheme="majorHAnsi"/>
          <w:sz w:val="24"/>
          <w:szCs w:val="24"/>
        </w:rPr>
        <w:t xml:space="preserve"> </w:t>
      </w:r>
      <w:r w:rsidR="009D163E">
        <w:rPr>
          <w:rFonts w:asciiTheme="majorHAnsi" w:hAnsiTheme="majorHAnsi"/>
          <w:sz w:val="24"/>
          <w:szCs w:val="24"/>
        </w:rPr>
        <w:t xml:space="preserve">geselecteerde </w:t>
      </w:r>
      <w:r>
        <w:rPr>
          <w:rFonts w:asciiTheme="majorHAnsi" w:hAnsiTheme="majorHAnsi"/>
          <w:sz w:val="24"/>
          <w:szCs w:val="24"/>
        </w:rPr>
        <w:t>individuen zijn</w:t>
      </w:r>
      <w:r w:rsidR="00017D4E">
        <w:rPr>
          <w:rFonts w:asciiTheme="majorHAnsi" w:hAnsiTheme="majorHAnsi"/>
          <w:sz w:val="24"/>
          <w:szCs w:val="24"/>
        </w:rPr>
        <w:t xml:space="preserve"> door een fysisch antropoloog onder</w:t>
      </w:r>
      <w:r w:rsidR="005D4427">
        <w:rPr>
          <w:rFonts w:asciiTheme="majorHAnsi" w:hAnsiTheme="majorHAnsi"/>
          <w:sz w:val="24"/>
          <w:szCs w:val="24"/>
        </w:rPr>
        <w:t xml:space="preserve">zocht op </w:t>
      </w:r>
      <w:r w:rsidR="00017D4E">
        <w:rPr>
          <w:rFonts w:asciiTheme="majorHAnsi" w:hAnsiTheme="majorHAnsi"/>
          <w:sz w:val="24"/>
          <w:szCs w:val="24"/>
        </w:rPr>
        <w:t xml:space="preserve">geslacht, leeftijd bij overlijden, lichaamslengte en ziekteverschijnselen. </w:t>
      </w:r>
      <w:r w:rsidR="00F30612">
        <w:rPr>
          <w:rFonts w:asciiTheme="majorHAnsi" w:hAnsiTheme="majorHAnsi"/>
          <w:sz w:val="24"/>
          <w:szCs w:val="24"/>
        </w:rPr>
        <w:t xml:space="preserve">Het botmateriaal is goed geconserveerd, maar wel sterk gefragmenteerd. </w:t>
      </w:r>
      <w:r w:rsidR="005535F3">
        <w:rPr>
          <w:rFonts w:ascii="Cambria" w:hAnsi="Cambria"/>
          <w:sz w:val="24"/>
          <w:lang w:eastAsia="nl-NL"/>
        </w:rPr>
        <w:t>Voor het onderzoek naar de skeletten is gebruik gemaakt van standaard methoden en technieken</w:t>
      </w:r>
      <w:r w:rsidR="002B6E6D">
        <w:rPr>
          <w:rFonts w:ascii="Cambria" w:hAnsi="Cambria"/>
          <w:sz w:val="24"/>
          <w:lang w:eastAsia="nl-NL"/>
        </w:rPr>
        <w:t>,</w:t>
      </w:r>
      <w:r w:rsidR="005535F3">
        <w:rPr>
          <w:rFonts w:ascii="Cambria" w:hAnsi="Cambria"/>
          <w:sz w:val="24"/>
          <w:lang w:eastAsia="nl-NL"/>
        </w:rPr>
        <w:t xml:space="preserve"> </w:t>
      </w:r>
      <w:r w:rsidR="005D4427">
        <w:rPr>
          <w:rFonts w:ascii="Cambria" w:hAnsi="Cambria"/>
          <w:sz w:val="24"/>
          <w:lang w:eastAsia="nl-NL"/>
        </w:rPr>
        <w:t xml:space="preserve">onder andere </w:t>
      </w:r>
      <w:r w:rsidR="005535F3">
        <w:rPr>
          <w:rFonts w:ascii="Cambria" w:hAnsi="Cambria"/>
          <w:sz w:val="24"/>
          <w:lang w:eastAsia="nl-NL"/>
        </w:rPr>
        <w:t xml:space="preserve">samengesteld door de </w:t>
      </w:r>
      <w:r w:rsidR="005535F3" w:rsidRPr="0039416C">
        <w:rPr>
          <w:rFonts w:ascii="Cambria" w:hAnsi="Cambria"/>
          <w:sz w:val="24"/>
          <w:lang w:eastAsia="nl-NL"/>
        </w:rPr>
        <w:t xml:space="preserve">Workshop of European </w:t>
      </w:r>
      <w:proofErr w:type="spellStart"/>
      <w:r w:rsidR="005535F3" w:rsidRPr="0039416C">
        <w:rPr>
          <w:rFonts w:ascii="Cambria" w:hAnsi="Cambria"/>
          <w:sz w:val="24"/>
          <w:lang w:eastAsia="nl-NL"/>
        </w:rPr>
        <w:t>Anthropologists</w:t>
      </w:r>
      <w:proofErr w:type="spellEnd"/>
      <w:r w:rsidR="005535F3">
        <w:rPr>
          <w:rFonts w:ascii="Cambria" w:hAnsi="Cambria"/>
          <w:sz w:val="24"/>
          <w:lang w:eastAsia="nl-NL"/>
        </w:rPr>
        <w:t>.</w:t>
      </w:r>
      <w:r w:rsidR="005535F3">
        <w:rPr>
          <w:rStyle w:val="Voetnootmarkering"/>
          <w:rFonts w:ascii="Cambria" w:hAnsi="Cambria"/>
          <w:sz w:val="24"/>
          <w:lang w:eastAsia="nl-NL"/>
        </w:rPr>
        <w:footnoteReference w:id="1"/>
      </w:r>
      <w:r w:rsidR="005535F3">
        <w:rPr>
          <w:rFonts w:ascii="Cambria" w:hAnsi="Cambria"/>
          <w:sz w:val="24"/>
          <w:lang w:eastAsia="nl-NL"/>
        </w:rPr>
        <w:t xml:space="preserve"> Een beschrijving van deze methoden en technieken is te vinden in </w:t>
      </w:r>
      <w:r w:rsidR="005535F3" w:rsidRPr="0039416C">
        <w:rPr>
          <w:rFonts w:ascii="Cambria" w:hAnsi="Cambria"/>
          <w:sz w:val="24"/>
          <w:highlight w:val="yellow"/>
          <w:lang w:eastAsia="nl-NL"/>
        </w:rPr>
        <w:t xml:space="preserve">bijlage </w:t>
      </w:r>
      <w:r w:rsidR="00C311C6">
        <w:rPr>
          <w:rFonts w:ascii="Cambria" w:hAnsi="Cambria"/>
          <w:sz w:val="24"/>
          <w:highlight w:val="yellow"/>
          <w:lang w:eastAsia="nl-NL"/>
        </w:rPr>
        <w:t>1</w:t>
      </w:r>
      <w:r w:rsidR="005535F3">
        <w:rPr>
          <w:rFonts w:ascii="Cambria" w:hAnsi="Cambria"/>
          <w:sz w:val="24"/>
          <w:lang w:eastAsia="nl-NL"/>
        </w:rPr>
        <w:t>.</w:t>
      </w:r>
    </w:p>
    <w:p w14:paraId="3515AD3A" w14:textId="50BB38E8" w:rsidR="00F30612" w:rsidRDefault="00F30612" w:rsidP="00EC7448">
      <w:pPr>
        <w:spacing w:after="0" w:line="300" w:lineRule="auto"/>
        <w:rPr>
          <w:rFonts w:ascii="Cambria" w:hAnsi="Cambria"/>
          <w:sz w:val="24"/>
          <w:lang w:eastAsia="nl-NL"/>
        </w:rPr>
      </w:pPr>
    </w:p>
    <w:p w14:paraId="66AB55BC" w14:textId="566DA59C" w:rsidR="00D57FA0" w:rsidRDefault="00D57FA0" w:rsidP="00EC7448">
      <w:pPr>
        <w:spacing w:after="0" w:line="300" w:lineRule="auto"/>
        <w:rPr>
          <w:rFonts w:ascii="Cambria" w:hAnsi="Cambria"/>
          <w:sz w:val="24"/>
          <w:lang w:eastAsia="nl-NL"/>
        </w:rPr>
      </w:pPr>
      <w:r>
        <w:rPr>
          <w:rFonts w:ascii="Cambria" w:hAnsi="Cambria"/>
          <w:sz w:val="24"/>
          <w:lang w:eastAsia="nl-NL"/>
        </w:rPr>
        <w:t>De onderzoeks</w:t>
      </w:r>
      <w:r w:rsidR="00D438F3">
        <w:rPr>
          <w:rFonts w:ascii="Cambria" w:hAnsi="Cambria"/>
          <w:sz w:val="24"/>
          <w:lang w:eastAsia="nl-NL"/>
        </w:rPr>
        <w:t xml:space="preserve">resultaten van de skeletten zullen hieronder per individu worden besproken. Hierna zal een samenvattend beeld worden geschetst van de bevindingen van alle individuen tezamen en zullen enkele opvallendheden of bijzonderheden worden besproken. </w:t>
      </w:r>
      <w:r w:rsidR="00D92F73">
        <w:rPr>
          <w:rFonts w:ascii="Cambria" w:hAnsi="Cambria"/>
          <w:sz w:val="24"/>
          <w:lang w:eastAsia="nl-NL"/>
        </w:rPr>
        <w:t xml:space="preserve">In </w:t>
      </w:r>
      <w:r w:rsidR="00A51E67">
        <w:rPr>
          <w:rFonts w:ascii="Cambria" w:hAnsi="Cambria"/>
          <w:sz w:val="24"/>
          <w:highlight w:val="yellow"/>
          <w:lang w:eastAsia="nl-NL"/>
        </w:rPr>
        <w:t>bijlage 2</w:t>
      </w:r>
      <w:r w:rsidR="00D92F73">
        <w:rPr>
          <w:rFonts w:ascii="Cambria" w:hAnsi="Cambria"/>
          <w:sz w:val="24"/>
          <w:lang w:eastAsia="nl-NL"/>
        </w:rPr>
        <w:t xml:space="preserve"> zijn de onderzoeksresultaten per individu weergegeven.</w:t>
      </w:r>
    </w:p>
    <w:p w14:paraId="5604EA0F" w14:textId="77777777" w:rsidR="00842CE6" w:rsidRDefault="00842CE6" w:rsidP="00EC7448">
      <w:pPr>
        <w:spacing w:after="0" w:line="300" w:lineRule="auto"/>
        <w:rPr>
          <w:rFonts w:ascii="Cambria" w:hAnsi="Cambria"/>
          <w:sz w:val="24"/>
          <w:lang w:eastAsia="nl-NL"/>
        </w:rPr>
      </w:pPr>
    </w:p>
    <w:p w14:paraId="15941659" w14:textId="77777777" w:rsidR="008E345F" w:rsidRDefault="008E345F">
      <w:pPr>
        <w:rPr>
          <w:rFonts w:ascii="Cambria" w:hAnsi="Cambria"/>
          <w:b/>
          <w:sz w:val="24"/>
          <w:lang w:eastAsia="nl-NL"/>
        </w:rPr>
      </w:pPr>
      <w:r>
        <w:rPr>
          <w:rFonts w:ascii="Cambria" w:hAnsi="Cambria"/>
          <w:b/>
          <w:sz w:val="24"/>
          <w:lang w:eastAsia="nl-NL"/>
        </w:rPr>
        <w:br w:type="page"/>
      </w:r>
    </w:p>
    <w:p w14:paraId="6D2A0016" w14:textId="77777777" w:rsidR="00842CE6" w:rsidRPr="00842CE6" w:rsidRDefault="00842CE6" w:rsidP="00EC7448">
      <w:pPr>
        <w:spacing w:after="0" w:line="300" w:lineRule="auto"/>
        <w:rPr>
          <w:rFonts w:ascii="Cambria" w:hAnsi="Cambria"/>
          <w:b/>
          <w:sz w:val="24"/>
          <w:lang w:eastAsia="nl-NL"/>
        </w:rPr>
      </w:pPr>
      <w:r w:rsidRPr="00842CE6">
        <w:rPr>
          <w:rFonts w:ascii="Cambria" w:hAnsi="Cambria"/>
          <w:b/>
          <w:sz w:val="24"/>
          <w:lang w:eastAsia="nl-NL"/>
        </w:rPr>
        <w:lastRenderedPageBreak/>
        <w:t>Onderzoeksresultaten</w:t>
      </w:r>
    </w:p>
    <w:p w14:paraId="1E04B5B5" w14:textId="77777777" w:rsidR="00B022B9" w:rsidRDefault="00B022B9" w:rsidP="00EC7448">
      <w:pPr>
        <w:spacing w:after="0" w:line="300" w:lineRule="auto"/>
        <w:rPr>
          <w:rFonts w:ascii="Cambria" w:hAnsi="Cambria"/>
          <w:sz w:val="24"/>
          <w:lang w:eastAsia="nl-NL"/>
        </w:rPr>
      </w:pPr>
    </w:p>
    <w:p w14:paraId="35BB9A73" w14:textId="434F2446" w:rsidR="00B022B9" w:rsidRPr="00D92F73" w:rsidRDefault="00B022B9" w:rsidP="00EC7448">
      <w:pPr>
        <w:spacing w:after="0" w:line="300" w:lineRule="auto"/>
        <w:rPr>
          <w:rFonts w:ascii="Cambria" w:hAnsi="Cambria"/>
          <w:i/>
          <w:sz w:val="24"/>
          <w:lang w:eastAsia="nl-NL"/>
        </w:rPr>
      </w:pPr>
      <w:r w:rsidRPr="00D92F73">
        <w:rPr>
          <w:rFonts w:ascii="Cambria" w:hAnsi="Cambria"/>
          <w:i/>
          <w:sz w:val="24"/>
          <w:lang w:eastAsia="nl-NL"/>
        </w:rPr>
        <w:t>Individu 1</w:t>
      </w:r>
      <w:r w:rsidR="009D163E">
        <w:rPr>
          <w:rFonts w:ascii="Cambria" w:hAnsi="Cambria"/>
          <w:i/>
          <w:sz w:val="24"/>
          <w:lang w:eastAsia="nl-NL"/>
        </w:rPr>
        <w:t xml:space="preserve"> (S38)</w:t>
      </w:r>
    </w:p>
    <w:p w14:paraId="1C3EBAB5" w14:textId="39E03DE4" w:rsidR="009D163E" w:rsidRDefault="009D163E" w:rsidP="00EC7448">
      <w:pPr>
        <w:spacing w:after="0" w:line="300" w:lineRule="auto"/>
        <w:rPr>
          <w:rFonts w:ascii="Cambria" w:hAnsi="Cambria"/>
          <w:sz w:val="24"/>
          <w:lang w:eastAsia="nl-NL"/>
        </w:rPr>
      </w:pPr>
      <w:r>
        <w:rPr>
          <w:rFonts w:ascii="Cambria" w:hAnsi="Cambria"/>
          <w:sz w:val="24"/>
          <w:lang w:eastAsia="nl-NL"/>
        </w:rPr>
        <w:t>I</w:t>
      </w:r>
      <w:r w:rsidR="00D94F3B">
        <w:rPr>
          <w:rFonts w:ascii="Cambria" w:hAnsi="Cambria"/>
          <w:sz w:val="24"/>
          <w:lang w:eastAsia="nl-NL"/>
        </w:rPr>
        <w:t xml:space="preserve">ndividu 1 </w:t>
      </w:r>
      <w:r>
        <w:rPr>
          <w:rFonts w:ascii="Cambria" w:hAnsi="Cambria"/>
          <w:sz w:val="24"/>
          <w:lang w:eastAsia="nl-NL"/>
        </w:rPr>
        <w:t xml:space="preserve">lag op de buik </w:t>
      </w:r>
      <w:r w:rsidR="00443ADD">
        <w:rPr>
          <w:rFonts w:ascii="Cambria" w:hAnsi="Cambria"/>
          <w:sz w:val="24"/>
          <w:lang w:eastAsia="nl-NL"/>
        </w:rPr>
        <w:t>begraven</w:t>
      </w:r>
      <w:r>
        <w:rPr>
          <w:rFonts w:ascii="Cambria" w:hAnsi="Cambria"/>
          <w:sz w:val="24"/>
          <w:lang w:eastAsia="nl-NL"/>
        </w:rPr>
        <w:t>. De rechter arm is verstoord en de benen vallen buiten de werkput en bevinden zich nog in het oost-profiel. De bijvondst van een kistnagel doet vermoeden dat het individu in een kist is begraven.</w:t>
      </w:r>
    </w:p>
    <w:p w14:paraId="081C404D" w14:textId="4666483B" w:rsidR="009D163E" w:rsidRDefault="009D163E" w:rsidP="00EC7448">
      <w:pPr>
        <w:spacing w:after="0" w:line="300" w:lineRule="auto"/>
        <w:rPr>
          <w:rFonts w:ascii="Cambria" w:hAnsi="Cambria"/>
          <w:sz w:val="24"/>
          <w:lang w:eastAsia="nl-NL"/>
        </w:rPr>
      </w:pPr>
      <w:r>
        <w:rPr>
          <w:rFonts w:ascii="Cambria" w:hAnsi="Cambria"/>
          <w:sz w:val="24"/>
          <w:lang w:eastAsia="nl-NL"/>
        </w:rPr>
        <w:t xml:space="preserve">Individu 1 is een volwassen man van 38-56 jaar oud en een lichaamslengte van 170,55 cm </w:t>
      </w:r>
      <w:r>
        <w:rPr>
          <w:rFonts w:ascii="Cambria" w:hAnsi="Cambria"/>
          <w:sz w:val="24"/>
          <w:lang w:eastAsia="nl-NL"/>
        </w:rPr>
        <w:t>(±4,</w:t>
      </w:r>
      <w:r>
        <w:rPr>
          <w:rFonts w:ascii="Cambria" w:hAnsi="Cambria"/>
          <w:sz w:val="24"/>
          <w:lang w:eastAsia="nl-NL"/>
        </w:rPr>
        <w:t>05</w:t>
      </w:r>
      <w:r>
        <w:rPr>
          <w:rFonts w:ascii="Cambria" w:hAnsi="Cambria"/>
          <w:sz w:val="24"/>
          <w:lang w:eastAsia="nl-NL"/>
        </w:rPr>
        <w:t xml:space="preserve"> cm).</w:t>
      </w:r>
      <w:r w:rsidR="001412F7">
        <w:rPr>
          <w:rFonts w:ascii="Cambria" w:hAnsi="Cambria"/>
          <w:sz w:val="24"/>
          <w:lang w:eastAsia="nl-NL"/>
        </w:rPr>
        <w:t xml:space="preserve"> </w:t>
      </w:r>
      <w:r>
        <w:rPr>
          <w:rFonts w:ascii="Cambria" w:hAnsi="Cambria"/>
          <w:sz w:val="24"/>
          <w:lang w:eastAsia="nl-NL"/>
        </w:rPr>
        <w:t xml:space="preserve">Er zijn geen ziektesporen of sporen van geweld aangetroffen in het lichaam. Echter aan de rechterzijde van het gebit had de man veel tandsteen, terwijl er geen tandsteen aanwezig was aan de linkerzijde van het gebit. Dit kan duiden op een verlamming van de rechterzijde van de mond, waardoor etensresten die achterblijven niet worden opgemerkt en daardoor voor een deel aanwezig blijven, waardoor hier overmatige tandsteenvorming ontstaat. Een oorzaak van een dergelijke verlamming </w:t>
      </w:r>
      <w:r w:rsidR="00443ADD">
        <w:rPr>
          <w:rFonts w:ascii="Cambria" w:hAnsi="Cambria"/>
          <w:sz w:val="24"/>
          <w:lang w:eastAsia="nl-NL"/>
        </w:rPr>
        <w:t>is niet meer te achterhalen, maar het zou bijvoorbeeld het gevolg van een beroerte kunnen zijn geweest.</w:t>
      </w:r>
    </w:p>
    <w:p w14:paraId="4A21E37F" w14:textId="77777777" w:rsidR="005C5F26" w:rsidRDefault="005C5F26" w:rsidP="00EC7448">
      <w:pPr>
        <w:spacing w:after="0" w:line="300" w:lineRule="auto"/>
        <w:rPr>
          <w:rFonts w:ascii="Cambria" w:hAnsi="Cambria"/>
          <w:sz w:val="24"/>
          <w:lang w:eastAsia="nl-NL"/>
        </w:rPr>
      </w:pPr>
    </w:p>
    <w:p w14:paraId="11214BF1" w14:textId="55E496F2" w:rsidR="00017D4E" w:rsidRDefault="00443ADD" w:rsidP="00EC7448">
      <w:pPr>
        <w:spacing w:after="0"/>
        <w:jc w:val="both"/>
        <w:rPr>
          <w:rFonts w:asciiTheme="majorHAnsi" w:hAnsiTheme="majorHAnsi"/>
          <w:sz w:val="24"/>
          <w:szCs w:val="24"/>
        </w:rPr>
      </w:pPr>
      <w:r>
        <w:rPr>
          <w:noProof/>
        </w:rPr>
        <w:lastRenderedPageBreak/>
        <w:drawing>
          <wp:inline distT="0" distB="0" distL="0" distR="0" wp14:anchorId="464D99C6" wp14:editId="6680CA83">
            <wp:extent cx="2880000" cy="5956509"/>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5956509"/>
                    </a:xfrm>
                    <a:prstGeom prst="rect">
                      <a:avLst/>
                    </a:prstGeom>
                    <a:noFill/>
                    <a:ln>
                      <a:noFill/>
                    </a:ln>
                  </pic:spPr>
                </pic:pic>
              </a:graphicData>
            </a:graphic>
          </wp:inline>
        </w:drawing>
      </w:r>
    </w:p>
    <w:p w14:paraId="456B16FF" w14:textId="77777777" w:rsidR="00582EAC" w:rsidRPr="00582EAC" w:rsidRDefault="00582EAC" w:rsidP="00EC7448">
      <w:pPr>
        <w:spacing w:after="0"/>
        <w:jc w:val="both"/>
        <w:rPr>
          <w:rFonts w:asciiTheme="majorHAnsi" w:hAnsiTheme="majorHAnsi"/>
          <w:sz w:val="20"/>
          <w:szCs w:val="20"/>
        </w:rPr>
      </w:pPr>
      <w:r w:rsidRPr="00582EAC">
        <w:rPr>
          <w:rFonts w:asciiTheme="majorHAnsi" w:hAnsiTheme="majorHAnsi"/>
          <w:sz w:val="20"/>
          <w:szCs w:val="20"/>
          <w:highlight w:val="yellow"/>
        </w:rPr>
        <w:t>Figuur 1: Inventaris</w:t>
      </w:r>
      <w:r w:rsidR="00EE109E">
        <w:rPr>
          <w:rFonts w:asciiTheme="majorHAnsi" w:hAnsiTheme="majorHAnsi"/>
          <w:sz w:val="20"/>
          <w:szCs w:val="20"/>
        </w:rPr>
        <w:t xml:space="preserve"> van i</w:t>
      </w:r>
      <w:r w:rsidRPr="00582EAC">
        <w:rPr>
          <w:rFonts w:asciiTheme="majorHAnsi" w:hAnsiTheme="majorHAnsi"/>
          <w:sz w:val="20"/>
          <w:szCs w:val="20"/>
        </w:rPr>
        <w:t>ndividu 1</w:t>
      </w:r>
      <w:r>
        <w:rPr>
          <w:rFonts w:asciiTheme="majorHAnsi" w:hAnsiTheme="majorHAnsi"/>
          <w:sz w:val="20"/>
          <w:szCs w:val="20"/>
        </w:rPr>
        <w:t>.</w:t>
      </w:r>
    </w:p>
    <w:p w14:paraId="385E0230" w14:textId="77777777" w:rsidR="00582EAC" w:rsidRDefault="00582EAC" w:rsidP="00EC7448">
      <w:pPr>
        <w:spacing w:after="0"/>
        <w:jc w:val="both"/>
        <w:rPr>
          <w:rFonts w:asciiTheme="majorHAnsi" w:hAnsiTheme="majorHAnsi"/>
          <w:sz w:val="24"/>
          <w:szCs w:val="24"/>
        </w:rPr>
      </w:pPr>
    </w:p>
    <w:p w14:paraId="29ACDB83" w14:textId="77777777" w:rsidR="001412F7" w:rsidRDefault="001412F7">
      <w:pPr>
        <w:rPr>
          <w:rFonts w:ascii="Cambria" w:hAnsi="Cambria"/>
          <w:i/>
          <w:sz w:val="24"/>
          <w:lang w:eastAsia="nl-NL"/>
        </w:rPr>
      </w:pPr>
      <w:r>
        <w:rPr>
          <w:rFonts w:ascii="Cambria" w:hAnsi="Cambria"/>
          <w:i/>
          <w:sz w:val="24"/>
          <w:lang w:eastAsia="nl-NL"/>
        </w:rPr>
        <w:br w:type="page"/>
      </w:r>
    </w:p>
    <w:p w14:paraId="3A273DC9" w14:textId="5CEDCBB6" w:rsidR="00582EAC" w:rsidRPr="00D92F73" w:rsidRDefault="009769C1" w:rsidP="00EC7448">
      <w:pPr>
        <w:spacing w:after="0" w:line="300" w:lineRule="auto"/>
        <w:rPr>
          <w:rFonts w:ascii="Cambria" w:hAnsi="Cambria"/>
          <w:i/>
          <w:sz w:val="24"/>
          <w:lang w:eastAsia="nl-NL"/>
        </w:rPr>
      </w:pPr>
      <w:r>
        <w:rPr>
          <w:rFonts w:ascii="Cambria" w:hAnsi="Cambria"/>
          <w:i/>
          <w:sz w:val="24"/>
          <w:lang w:eastAsia="nl-NL"/>
        </w:rPr>
        <w:lastRenderedPageBreak/>
        <w:t>Individu 2</w:t>
      </w:r>
      <w:r w:rsidR="001412F7">
        <w:rPr>
          <w:rFonts w:ascii="Cambria" w:hAnsi="Cambria"/>
          <w:i/>
          <w:sz w:val="24"/>
          <w:lang w:eastAsia="nl-NL"/>
        </w:rPr>
        <w:t xml:space="preserve"> (S80)</w:t>
      </w:r>
    </w:p>
    <w:p w14:paraId="0E15BCCE" w14:textId="2CA5D902" w:rsidR="00443ADD" w:rsidRDefault="009769C1" w:rsidP="00EC7448">
      <w:pPr>
        <w:spacing w:after="0" w:line="300" w:lineRule="auto"/>
        <w:rPr>
          <w:rFonts w:ascii="Cambria" w:hAnsi="Cambria"/>
          <w:sz w:val="24"/>
          <w:lang w:eastAsia="nl-NL"/>
        </w:rPr>
      </w:pPr>
      <w:r>
        <w:rPr>
          <w:rFonts w:ascii="Cambria" w:hAnsi="Cambria"/>
          <w:sz w:val="24"/>
          <w:lang w:eastAsia="nl-NL"/>
        </w:rPr>
        <w:t xml:space="preserve">Van individu 2 </w:t>
      </w:r>
      <w:r w:rsidR="00443ADD">
        <w:rPr>
          <w:rFonts w:ascii="Cambria" w:hAnsi="Cambria"/>
          <w:sz w:val="24"/>
          <w:lang w:eastAsia="nl-NL"/>
        </w:rPr>
        <w:t>zijn alleen de schedel en de schouders aangetroffen. De rest van het lichaam is vermoedelijk verloren gegaan door een verstoring. Het individu lag in een oost-west oriëntatie begraven in plaats van in een west-oost oriëntatie zoals gebruikelijk. Meestal wordt een dergelijke oriëntatie geassocieerd met priesters. Aan gezien dit individu een man is en binnen een kerk in een oost-west oriëntatie begraven ligt, zou dit individu inderdaad een priester geweest kunnen zijn.</w:t>
      </w:r>
    </w:p>
    <w:p w14:paraId="12EA36D6" w14:textId="3E4663F8" w:rsidR="008F0097" w:rsidRDefault="00A048A4" w:rsidP="00EC7448">
      <w:pPr>
        <w:spacing w:after="0" w:line="300" w:lineRule="auto"/>
        <w:rPr>
          <w:rFonts w:ascii="Cambria" w:hAnsi="Cambria"/>
          <w:sz w:val="24"/>
          <w:lang w:eastAsia="nl-NL"/>
        </w:rPr>
      </w:pPr>
      <w:r>
        <w:rPr>
          <w:rFonts w:ascii="Cambria" w:hAnsi="Cambria"/>
          <w:sz w:val="24"/>
          <w:lang w:eastAsia="nl-NL"/>
        </w:rPr>
        <w:t>Ook bij dit individu zijn kistnagels aangetroffen wat doet vermoeden dat het individu in een kist is begraven.</w:t>
      </w:r>
    </w:p>
    <w:p w14:paraId="5BBBF814" w14:textId="1FE0EEC0" w:rsidR="00443ADD" w:rsidRDefault="00443ADD" w:rsidP="00EC7448">
      <w:pPr>
        <w:spacing w:after="0" w:line="300" w:lineRule="auto"/>
        <w:rPr>
          <w:rFonts w:ascii="Cambria" w:hAnsi="Cambria"/>
          <w:sz w:val="24"/>
          <w:lang w:eastAsia="nl-NL"/>
        </w:rPr>
      </w:pPr>
      <w:r>
        <w:rPr>
          <w:rFonts w:ascii="Cambria" w:hAnsi="Cambria"/>
          <w:sz w:val="24"/>
          <w:lang w:eastAsia="nl-NL"/>
        </w:rPr>
        <w:t>Individu 2 is een man van 40-80 jaar oud. Bij een gebrek aan volledige pijpbeenderen was het niet meer mogelijk om een lichaamslengte te berekenen.</w:t>
      </w:r>
      <w:r w:rsidR="008F0097">
        <w:rPr>
          <w:rFonts w:ascii="Cambria" w:hAnsi="Cambria"/>
          <w:sz w:val="24"/>
          <w:lang w:eastAsia="nl-NL"/>
        </w:rPr>
        <w:t xml:space="preserve"> </w:t>
      </w:r>
      <w:r>
        <w:rPr>
          <w:rFonts w:ascii="Cambria" w:hAnsi="Cambria"/>
          <w:sz w:val="24"/>
          <w:lang w:eastAsia="nl-NL"/>
        </w:rPr>
        <w:t xml:space="preserve">Er zijn diverse ziekteverschijnselen of sporen van geweld aangetroffen: In de hals vertoonde de man artrose in de wervellichamen, de vierde rib rechts heeft een geheelde breuk en de man had een </w:t>
      </w:r>
      <w:r w:rsidR="00A048A4">
        <w:rPr>
          <w:rFonts w:ascii="Cambria" w:hAnsi="Cambria"/>
          <w:sz w:val="24"/>
          <w:lang w:eastAsia="nl-NL"/>
        </w:rPr>
        <w:t xml:space="preserve">licht </w:t>
      </w:r>
      <w:r>
        <w:rPr>
          <w:rFonts w:ascii="Cambria" w:hAnsi="Cambria"/>
          <w:sz w:val="24"/>
          <w:lang w:eastAsia="nl-NL"/>
        </w:rPr>
        <w:t>ontstoken gehemelte.</w:t>
      </w:r>
      <w:r w:rsidR="00A048A4">
        <w:rPr>
          <w:rFonts w:ascii="Cambria" w:hAnsi="Cambria"/>
          <w:sz w:val="24"/>
          <w:lang w:eastAsia="nl-NL"/>
        </w:rPr>
        <w:t xml:space="preserve"> De man had veel gebitselementen voor de dood verloren en flink ontstoken tandvlees, vermoedelijk is deze infectie doorgeslagen naar het gehemelte. Artrose in de wervelkolom is gezien de oudere leeftijd van het individu niet opvallend. Er waren nog slechts enkele ribben bewaard gebleven van dit individu. Mogelijk heeft de man meer dan één rib gebroken gehad, maar dit valt niet meer te achterhalen.</w:t>
      </w:r>
    </w:p>
    <w:p w14:paraId="7CDF58B2" w14:textId="6E46CC23" w:rsidR="00AA2925" w:rsidRDefault="00AA2925" w:rsidP="00EC7448">
      <w:pPr>
        <w:spacing w:after="0" w:line="300" w:lineRule="auto"/>
        <w:rPr>
          <w:rFonts w:ascii="Cambria" w:hAnsi="Cambria"/>
          <w:sz w:val="24"/>
          <w:lang w:eastAsia="nl-NL"/>
        </w:rPr>
      </w:pPr>
    </w:p>
    <w:p w14:paraId="2B2CB0AB" w14:textId="26E3FB07" w:rsidR="008B5A6B" w:rsidRDefault="00A048A4" w:rsidP="00EC7448">
      <w:pPr>
        <w:spacing w:after="0" w:line="300" w:lineRule="auto"/>
        <w:rPr>
          <w:rFonts w:ascii="Cambria" w:hAnsi="Cambria"/>
          <w:sz w:val="24"/>
          <w:lang w:eastAsia="nl-NL"/>
        </w:rPr>
      </w:pPr>
      <w:r>
        <w:rPr>
          <w:noProof/>
        </w:rPr>
        <w:lastRenderedPageBreak/>
        <w:drawing>
          <wp:inline distT="0" distB="0" distL="0" distR="0" wp14:anchorId="540AF128" wp14:editId="1A39E934">
            <wp:extent cx="2880000" cy="5957388"/>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5957388"/>
                    </a:xfrm>
                    <a:prstGeom prst="rect">
                      <a:avLst/>
                    </a:prstGeom>
                    <a:noFill/>
                    <a:ln>
                      <a:noFill/>
                    </a:ln>
                  </pic:spPr>
                </pic:pic>
              </a:graphicData>
            </a:graphic>
          </wp:inline>
        </w:drawing>
      </w:r>
    </w:p>
    <w:p w14:paraId="6C82514E" w14:textId="77777777" w:rsidR="00C43DD5" w:rsidRPr="00C43DD5" w:rsidRDefault="00C43DD5" w:rsidP="00EC7448">
      <w:pPr>
        <w:spacing w:after="0"/>
        <w:jc w:val="both"/>
        <w:rPr>
          <w:rFonts w:asciiTheme="majorHAnsi" w:hAnsiTheme="majorHAnsi"/>
          <w:sz w:val="20"/>
          <w:szCs w:val="20"/>
        </w:rPr>
      </w:pPr>
      <w:r w:rsidRPr="00582EAC">
        <w:rPr>
          <w:rFonts w:asciiTheme="majorHAnsi" w:hAnsiTheme="majorHAnsi"/>
          <w:sz w:val="20"/>
          <w:szCs w:val="20"/>
          <w:highlight w:val="yellow"/>
        </w:rPr>
        <w:t xml:space="preserve">Figuur </w:t>
      </w:r>
      <w:r w:rsidR="008B5A6B">
        <w:rPr>
          <w:rFonts w:asciiTheme="majorHAnsi" w:hAnsiTheme="majorHAnsi"/>
          <w:sz w:val="20"/>
          <w:szCs w:val="20"/>
          <w:highlight w:val="yellow"/>
        </w:rPr>
        <w:t>2</w:t>
      </w:r>
      <w:r w:rsidRPr="00582EAC">
        <w:rPr>
          <w:rFonts w:asciiTheme="majorHAnsi" w:hAnsiTheme="majorHAnsi"/>
          <w:sz w:val="20"/>
          <w:szCs w:val="20"/>
          <w:highlight w:val="yellow"/>
        </w:rPr>
        <w:t>: Inventaris</w:t>
      </w:r>
      <w:r w:rsidR="00EE109E">
        <w:rPr>
          <w:rFonts w:asciiTheme="majorHAnsi" w:hAnsiTheme="majorHAnsi"/>
          <w:sz w:val="20"/>
          <w:szCs w:val="20"/>
        </w:rPr>
        <w:t xml:space="preserve"> van i</w:t>
      </w:r>
      <w:r w:rsidRPr="00582EAC">
        <w:rPr>
          <w:rFonts w:asciiTheme="majorHAnsi" w:hAnsiTheme="majorHAnsi"/>
          <w:sz w:val="20"/>
          <w:szCs w:val="20"/>
        </w:rPr>
        <w:t xml:space="preserve">ndividu </w:t>
      </w:r>
      <w:r>
        <w:rPr>
          <w:rFonts w:asciiTheme="majorHAnsi" w:hAnsiTheme="majorHAnsi"/>
          <w:sz w:val="20"/>
          <w:szCs w:val="20"/>
        </w:rPr>
        <w:t>2.</w:t>
      </w:r>
    </w:p>
    <w:p w14:paraId="6C8B086B" w14:textId="123E8F3B" w:rsidR="00622684" w:rsidRPr="00FA75FA" w:rsidRDefault="00ED211E" w:rsidP="00EC7448">
      <w:pPr>
        <w:spacing w:after="0" w:line="300" w:lineRule="auto"/>
        <w:rPr>
          <w:rFonts w:asciiTheme="majorHAnsi" w:hAnsiTheme="majorHAnsi"/>
          <w:sz w:val="20"/>
          <w:szCs w:val="20"/>
        </w:rPr>
      </w:pPr>
      <w:r>
        <w:rPr>
          <w:noProof/>
        </w:rPr>
        <w:drawing>
          <wp:inline distT="0" distB="0" distL="0" distR="0" wp14:anchorId="53DB0E89" wp14:editId="3CC66367">
            <wp:extent cx="3600000" cy="252381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2523810"/>
                    </a:xfrm>
                    <a:prstGeom prst="rect">
                      <a:avLst/>
                    </a:prstGeom>
                    <a:noFill/>
                    <a:ln>
                      <a:noFill/>
                    </a:ln>
                  </pic:spPr>
                </pic:pic>
              </a:graphicData>
            </a:graphic>
          </wp:inline>
        </w:drawing>
      </w:r>
    </w:p>
    <w:p w14:paraId="2CCED128" w14:textId="49802D88" w:rsidR="00622684" w:rsidRPr="00FA75FA" w:rsidRDefault="002F3D58" w:rsidP="00EC7448">
      <w:pPr>
        <w:spacing w:after="0" w:line="300" w:lineRule="auto"/>
        <w:rPr>
          <w:rFonts w:asciiTheme="majorHAnsi" w:hAnsiTheme="majorHAnsi"/>
          <w:sz w:val="20"/>
          <w:szCs w:val="20"/>
        </w:rPr>
      </w:pPr>
      <w:r w:rsidRPr="00FA75FA">
        <w:rPr>
          <w:rFonts w:asciiTheme="majorHAnsi" w:hAnsiTheme="majorHAnsi"/>
          <w:sz w:val="20"/>
          <w:szCs w:val="20"/>
          <w:highlight w:val="yellow"/>
        </w:rPr>
        <w:t xml:space="preserve">Figuur </w:t>
      </w:r>
      <w:r w:rsidR="00ED211E">
        <w:rPr>
          <w:rFonts w:asciiTheme="majorHAnsi" w:hAnsiTheme="majorHAnsi"/>
          <w:sz w:val="20"/>
          <w:szCs w:val="20"/>
        </w:rPr>
        <w:t>3</w:t>
      </w:r>
      <w:r w:rsidR="00622684" w:rsidRPr="00FA75FA">
        <w:rPr>
          <w:rFonts w:asciiTheme="majorHAnsi" w:hAnsiTheme="majorHAnsi"/>
          <w:sz w:val="20"/>
          <w:szCs w:val="20"/>
        </w:rPr>
        <w:t xml:space="preserve">: </w:t>
      </w:r>
      <w:r w:rsidR="00ED211E">
        <w:rPr>
          <w:rFonts w:asciiTheme="majorHAnsi" w:hAnsiTheme="majorHAnsi"/>
          <w:sz w:val="20"/>
          <w:szCs w:val="20"/>
        </w:rPr>
        <w:t>artrose in de wervelkolom</w:t>
      </w:r>
      <w:r w:rsidRPr="00FA75FA">
        <w:rPr>
          <w:rFonts w:asciiTheme="majorHAnsi" w:hAnsiTheme="majorHAnsi"/>
          <w:sz w:val="20"/>
          <w:szCs w:val="20"/>
        </w:rPr>
        <w:t xml:space="preserve"> bij</w:t>
      </w:r>
      <w:r w:rsidR="00622684" w:rsidRPr="00FA75FA">
        <w:rPr>
          <w:rFonts w:asciiTheme="majorHAnsi" w:hAnsiTheme="majorHAnsi"/>
          <w:sz w:val="20"/>
          <w:szCs w:val="20"/>
        </w:rPr>
        <w:t xml:space="preserve"> individu </w:t>
      </w:r>
      <w:r w:rsidR="00292FAC">
        <w:rPr>
          <w:rFonts w:asciiTheme="majorHAnsi" w:hAnsiTheme="majorHAnsi"/>
          <w:sz w:val="20"/>
          <w:szCs w:val="20"/>
        </w:rPr>
        <w:t>2</w:t>
      </w:r>
      <w:r w:rsidR="00622684" w:rsidRPr="00FA75FA">
        <w:rPr>
          <w:rFonts w:asciiTheme="majorHAnsi" w:hAnsiTheme="majorHAnsi"/>
          <w:sz w:val="20"/>
          <w:szCs w:val="20"/>
        </w:rPr>
        <w:t>.</w:t>
      </w:r>
    </w:p>
    <w:p w14:paraId="25D0F725" w14:textId="3C0EFC96" w:rsidR="00ED211E" w:rsidRDefault="00292FAC" w:rsidP="00ED211E">
      <w:pPr>
        <w:spacing w:after="0" w:line="300" w:lineRule="auto"/>
        <w:rPr>
          <w:rFonts w:asciiTheme="majorHAnsi" w:hAnsiTheme="majorHAnsi"/>
          <w:sz w:val="20"/>
          <w:szCs w:val="20"/>
          <w:highlight w:val="yellow"/>
        </w:rPr>
      </w:pPr>
      <w:r>
        <w:rPr>
          <w:noProof/>
        </w:rPr>
        <w:lastRenderedPageBreak/>
        <w:pict w14:anchorId="25FCEC79">
          <v:shapetype id="_x0000_t32" coordsize="21600,21600" o:spt="32" o:oned="t" path="m,l21600,21600e" filled="f">
            <v:path arrowok="t" fillok="f" o:connecttype="none"/>
            <o:lock v:ext="edit" shapetype="t"/>
          </v:shapetype>
          <v:shape id="_x0000_s1026" type="#_x0000_t32" style="position:absolute;margin-left:127.75pt;margin-top:21.25pt;width:15.6pt;height:24.6pt;flip:x;z-index:251658240" o:connectortype="straight">
            <v:stroke endarrow="block"/>
          </v:shape>
        </w:pict>
      </w:r>
      <w:r>
        <w:rPr>
          <w:noProof/>
        </w:rPr>
        <w:drawing>
          <wp:inline distT="0" distB="0" distL="0" distR="0" wp14:anchorId="4F2725E5" wp14:editId="5BC6AAF8">
            <wp:extent cx="4320000" cy="1800476"/>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800476"/>
                    </a:xfrm>
                    <a:prstGeom prst="rect">
                      <a:avLst/>
                    </a:prstGeom>
                    <a:noFill/>
                    <a:ln>
                      <a:noFill/>
                    </a:ln>
                  </pic:spPr>
                </pic:pic>
              </a:graphicData>
            </a:graphic>
          </wp:inline>
        </w:drawing>
      </w:r>
    </w:p>
    <w:p w14:paraId="1EC1B2E7" w14:textId="7ABB9468" w:rsidR="00ED211E" w:rsidRPr="00FA75FA" w:rsidRDefault="00ED211E" w:rsidP="00ED211E">
      <w:pPr>
        <w:spacing w:after="0" w:line="300" w:lineRule="auto"/>
        <w:rPr>
          <w:rFonts w:asciiTheme="majorHAnsi" w:hAnsiTheme="majorHAnsi"/>
          <w:sz w:val="20"/>
          <w:szCs w:val="20"/>
        </w:rPr>
      </w:pPr>
      <w:r w:rsidRPr="00FA75FA">
        <w:rPr>
          <w:rFonts w:asciiTheme="majorHAnsi" w:hAnsiTheme="majorHAnsi"/>
          <w:sz w:val="20"/>
          <w:szCs w:val="20"/>
          <w:highlight w:val="yellow"/>
        </w:rPr>
        <w:t xml:space="preserve">Figuur </w:t>
      </w:r>
      <w:r w:rsidRPr="00FA75FA">
        <w:rPr>
          <w:rFonts w:asciiTheme="majorHAnsi" w:hAnsiTheme="majorHAnsi"/>
          <w:sz w:val="20"/>
          <w:szCs w:val="20"/>
        </w:rPr>
        <w:t xml:space="preserve">4: </w:t>
      </w:r>
      <w:r w:rsidR="00292FAC">
        <w:rPr>
          <w:rFonts w:asciiTheme="majorHAnsi" w:hAnsiTheme="majorHAnsi"/>
          <w:sz w:val="20"/>
          <w:szCs w:val="20"/>
        </w:rPr>
        <w:t>Geheelde ribbreuk</w:t>
      </w:r>
      <w:r w:rsidRPr="00FA75FA">
        <w:rPr>
          <w:rFonts w:asciiTheme="majorHAnsi" w:hAnsiTheme="majorHAnsi"/>
          <w:sz w:val="20"/>
          <w:szCs w:val="20"/>
        </w:rPr>
        <w:t xml:space="preserve"> bij individu </w:t>
      </w:r>
      <w:r w:rsidR="00292FAC">
        <w:rPr>
          <w:rFonts w:asciiTheme="majorHAnsi" w:hAnsiTheme="majorHAnsi"/>
          <w:sz w:val="20"/>
          <w:szCs w:val="20"/>
        </w:rPr>
        <w:t>2</w:t>
      </w:r>
      <w:r w:rsidRPr="00FA75FA">
        <w:rPr>
          <w:rFonts w:asciiTheme="majorHAnsi" w:hAnsiTheme="majorHAnsi"/>
          <w:sz w:val="20"/>
          <w:szCs w:val="20"/>
        </w:rPr>
        <w:t>.</w:t>
      </w:r>
    </w:p>
    <w:p w14:paraId="4C809126" w14:textId="77777777" w:rsidR="00F864C0" w:rsidRPr="00E61FB8" w:rsidRDefault="00F864C0" w:rsidP="00EC7448">
      <w:pPr>
        <w:spacing w:after="0" w:line="300" w:lineRule="auto"/>
        <w:rPr>
          <w:rFonts w:ascii="Cambria" w:hAnsi="Cambria"/>
          <w:color w:val="FF0000"/>
          <w:sz w:val="24"/>
          <w:lang w:eastAsia="nl-NL"/>
        </w:rPr>
      </w:pPr>
    </w:p>
    <w:p w14:paraId="4EFF411B" w14:textId="77777777" w:rsidR="008F0097" w:rsidRDefault="008F0097">
      <w:pPr>
        <w:rPr>
          <w:rFonts w:ascii="Cambria" w:hAnsi="Cambria"/>
          <w:b/>
          <w:sz w:val="24"/>
          <w:lang w:eastAsia="nl-NL"/>
        </w:rPr>
      </w:pPr>
      <w:r>
        <w:rPr>
          <w:rFonts w:ascii="Cambria" w:hAnsi="Cambria"/>
          <w:b/>
          <w:sz w:val="24"/>
          <w:lang w:eastAsia="nl-NL"/>
        </w:rPr>
        <w:br w:type="page"/>
      </w:r>
    </w:p>
    <w:p w14:paraId="7B4D453A" w14:textId="13340DBA" w:rsidR="000F1C3B" w:rsidRPr="00AA7C14" w:rsidRDefault="0045512A" w:rsidP="00EC7448">
      <w:pPr>
        <w:spacing w:after="0" w:line="300" w:lineRule="auto"/>
        <w:rPr>
          <w:rFonts w:ascii="Cambria" w:hAnsi="Cambria"/>
          <w:b/>
          <w:sz w:val="24"/>
          <w:lang w:eastAsia="nl-NL"/>
        </w:rPr>
      </w:pPr>
      <w:r w:rsidRPr="00AA7C14">
        <w:rPr>
          <w:rFonts w:ascii="Cambria" w:hAnsi="Cambria"/>
          <w:b/>
          <w:sz w:val="24"/>
          <w:lang w:eastAsia="nl-NL"/>
        </w:rPr>
        <w:lastRenderedPageBreak/>
        <w:t>Conclusie</w:t>
      </w:r>
    </w:p>
    <w:p w14:paraId="5E65CDE3" w14:textId="77777777" w:rsidR="00EC7448" w:rsidRPr="00AA7C14" w:rsidRDefault="00EC7448" w:rsidP="00EC7448">
      <w:pPr>
        <w:spacing w:after="0" w:line="300" w:lineRule="auto"/>
        <w:rPr>
          <w:rFonts w:ascii="Cambria" w:hAnsi="Cambria"/>
          <w:b/>
          <w:sz w:val="24"/>
          <w:lang w:eastAsia="nl-NL"/>
        </w:rPr>
      </w:pPr>
    </w:p>
    <w:p w14:paraId="605BB681" w14:textId="77777777" w:rsidR="00292FAC" w:rsidRDefault="0045512A" w:rsidP="00EC7448">
      <w:pPr>
        <w:spacing w:after="0" w:line="300" w:lineRule="auto"/>
        <w:rPr>
          <w:rFonts w:asciiTheme="majorHAnsi" w:hAnsiTheme="majorHAnsi"/>
          <w:sz w:val="24"/>
          <w:szCs w:val="24"/>
        </w:rPr>
      </w:pPr>
      <w:r w:rsidRPr="00AA7C14">
        <w:rPr>
          <w:rFonts w:asciiTheme="majorHAnsi" w:hAnsiTheme="majorHAnsi"/>
          <w:sz w:val="24"/>
          <w:szCs w:val="24"/>
        </w:rPr>
        <w:t xml:space="preserve">Van de </w:t>
      </w:r>
      <w:r w:rsidR="00292FAC">
        <w:rPr>
          <w:rFonts w:asciiTheme="majorHAnsi" w:hAnsiTheme="majorHAnsi"/>
          <w:sz w:val="24"/>
          <w:szCs w:val="24"/>
        </w:rPr>
        <w:t>veertien</w:t>
      </w:r>
      <w:r w:rsidRPr="00AA7C14">
        <w:rPr>
          <w:rFonts w:asciiTheme="majorHAnsi" w:hAnsiTheme="majorHAnsi"/>
          <w:sz w:val="24"/>
          <w:szCs w:val="24"/>
        </w:rPr>
        <w:t xml:space="preserve"> opgegraven skeletten zijn </w:t>
      </w:r>
      <w:r w:rsidR="00292FAC">
        <w:rPr>
          <w:rFonts w:asciiTheme="majorHAnsi" w:hAnsiTheme="majorHAnsi"/>
          <w:sz w:val="24"/>
          <w:szCs w:val="24"/>
        </w:rPr>
        <w:t>twee</w:t>
      </w:r>
      <w:r w:rsidRPr="00AA7C14">
        <w:rPr>
          <w:rFonts w:asciiTheme="majorHAnsi" w:hAnsiTheme="majorHAnsi"/>
          <w:sz w:val="24"/>
          <w:szCs w:val="24"/>
        </w:rPr>
        <w:t xml:space="preserve"> individuen geselecteerd voor een verdere uitwerking</w:t>
      </w:r>
      <w:r w:rsidR="00292FAC">
        <w:rPr>
          <w:rFonts w:asciiTheme="majorHAnsi" w:hAnsiTheme="majorHAnsi"/>
          <w:sz w:val="24"/>
          <w:szCs w:val="24"/>
        </w:rPr>
        <w:t xml:space="preserve"> op basis van een opvallende begravingswijze</w:t>
      </w:r>
      <w:r w:rsidRPr="00AA7C14">
        <w:rPr>
          <w:rFonts w:asciiTheme="majorHAnsi" w:hAnsiTheme="majorHAnsi"/>
          <w:sz w:val="24"/>
          <w:szCs w:val="24"/>
        </w:rPr>
        <w:t>.</w:t>
      </w:r>
      <w:r w:rsidR="00292FAC">
        <w:rPr>
          <w:rFonts w:asciiTheme="majorHAnsi" w:hAnsiTheme="majorHAnsi"/>
          <w:sz w:val="24"/>
          <w:szCs w:val="24"/>
        </w:rPr>
        <w:t xml:space="preserve"> De opvallende begravingswijze geeft aan dat de twee individuen niet als representatief beschouwd kunnen worden voor de overige individuen begraven binnen de kerk. </w:t>
      </w:r>
    </w:p>
    <w:p w14:paraId="478B2EB8" w14:textId="19884329" w:rsidR="00292FAC" w:rsidRDefault="00292FAC" w:rsidP="00EC7448">
      <w:pPr>
        <w:spacing w:after="0" w:line="300" w:lineRule="auto"/>
        <w:rPr>
          <w:rFonts w:asciiTheme="majorHAnsi" w:hAnsiTheme="majorHAnsi"/>
          <w:sz w:val="24"/>
          <w:szCs w:val="24"/>
        </w:rPr>
      </w:pPr>
      <w:r>
        <w:rPr>
          <w:rFonts w:asciiTheme="majorHAnsi" w:hAnsiTheme="majorHAnsi"/>
          <w:sz w:val="24"/>
          <w:szCs w:val="24"/>
        </w:rPr>
        <w:t>De buikbegraving van individu 1 (S38) is opvallend. Buikbegravingen worden gezien als straf. Men wordt immers de kans ontnomen om te herrijzen om naar het hiernamaals te kunnen. Echter, een dergelijk persoon wordt niet verwacht om binnen de kerk te worden begraven. Het zou kunnen dat de man per ongeluk op de buik is begraven.</w:t>
      </w:r>
      <w:r w:rsidR="000040E4">
        <w:rPr>
          <w:rFonts w:asciiTheme="majorHAnsi" w:hAnsiTheme="majorHAnsi"/>
          <w:sz w:val="24"/>
          <w:szCs w:val="24"/>
        </w:rPr>
        <w:t xml:space="preserve"> Er zijn geen opvallendheden waargenomen aan individu 1 om een bewuste buikbegraving te kunnen verklaren. Individu 2 lag in een afwijkende oriëntatie begraven</w:t>
      </w:r>
      <w:r w:rsidR="008F0097">
        <w:rPr>
          <w:rFonts w:asciiTheme="majorHAnsi" w:hAnsiTheme="majorHAnsi"/>
          <w:sz w:val="24"/>
          <w:szCs w:val="24"/>
        </w:rPr>
        <w:t>, namelijk met het hoofd in het oosten en de voeten in het westen</w:t>
      </w:r>
      <w:r w:rsidR="000040E4">
        <w:rPr>
          <w:rFonts w:asciiTheme="majorHAnsi" w:hAnsiTheme="majorHAnsi"/>
          <w:sz w:val="24"/>
          <w:szCs w:val="24"/>
        </w:rPr>
        <w:t>. Deze oriëntatie wordt doorgaans geassocieerd met priesterbegravingen. Aangezien individu 2 een oudere man is en binnen de kerk ligt begraven zou het best een priester geweest kunnen zijn. Opvallend is echter wel de slechte gebitshygiëne van de man.</w:t>
      </w:r>
      <w:bookmarkStart w:id="0" w:name="_GoBack"/>
      <w:bookmarkEnd w:id="0"/>
    </w:p>
    <w:p w14:paraId="65CA2BB3" w14:textId="77777777" w:rsidR="000040E4" w:rsidRDefault="000040E4" w:rsidP="00EC7448">
      <w:pPr>
        <w:pStyle w:val="Kop1"/>
        <w:spacing w:line="300" w:lineRule="auto"/>
        <w:rPr>
          <w:b/>
          <w:sz w:val="24"/>
        </w:rPr>
      </w:pPr>
    </w:p>
    <w:p w14:paraId="225A6A21" w14:textId="77777777" w:rsidR="000040E4" w:rsidRDefault="000040E4" w:rsidP="00EC7448">
      <w:pPr>
        <w:pStyle w:val="Kop1"/>
        <w:spacing w:line="300" w:lineRule="auto"/>
        <w:rPr>
          <w:b/>
          <w:sz w:val="24"/>
        </w:rPr>
      </w:pPr>
    </w:p>
    <w:p w14:paraId="6C37BA42" w14:textId="77777777" w:rsidR="008F0097" w:rsidRDefault="008F0097">
      <w:pPr>
        <w:rPr>
          <w:rFonts w:ascii="Cambria" w:eastAsia="Times New Roman" w:hAnsi="Cambria"/>
          <w:b/>
          <w:sz w:val="24"/>
          <w:szCs w:val="24"/>
          <w:lang w:val="nl-BE" w:eastAsia="nl-BE"/>
        </w:rPr>
      </w:pPr>
      <w:r>
        <w:rPr>
          <w:b/>
          <w:sz w:val="24"/>
        </w:rPr>
        <w:br w:type="page"/>
      </w:r>
    </w:p>
    <w:p w14:paraId="23AE82AE" w14:textId="31718CEA" w:rsidR="00EE42A9" w:rsidRPr="00EC7448" w:rsidRDefault="00EC7448" w:rsidP="00EC7448">
      <w:pPr>
        <w:pStyle w:val="Kop1"/>
        <w:spacing w:line="300" w:lineRule="auto"/>
        <w:rPr>
          <w:b/>
          <w:sz w:val="24"/>
        </w:rPr>
      </w:pPr>
      <w:r>
        <w:rPr>
          <w:b/>
          <w:sz w:val="24"/>
        </w:rPr>
        <w:lastRenderedPageBreak/>
        <w:t>Literatuur</w:t>
      </w:r>
    </w:p>
    <w:p w14:paraId="78D81570" w14:textId="77777777" w:rsidR="00EE42A9" w:rsidRPr="002F2348" w:rsidRDefault="00EE42A9" w:rsidP="00EC7448">
      <w:pPr>
        <w:pStyle w:val="Kop1"/>
        <w:spacing w:line="300" w:lineRule="auto"/>
        <w:rPr>
          <w:sz w:val="24"/>
        </w:rPr>
      </w:pPr>
    </w:p>
    <w:p w14:paraId="55946713" w14:textId="77777777" w:rsidR="00EE42A9" w:rsidRPr="00350D4A" w:rsidRDefault="00EE42A9" w:rsidP="00EC7448">
      <w:pPr>
        <w:pStyle w:val="Lijstalinea"/>
        <w:numPr>
          <w:ilvl w:val="0"/>
          <w:numId w:val="2"/>
        </w:numPr>
        <w:spacing w:after="0"/>
        <w:jc w:val="both"/>
        <w:rPr>
          <w:rFonts w:asciiTheme="majorHAnsi" w:hAnsiTheme="majorHAnsi"/>
          <w:sz w:val="24"/>
          <w:szCs w:val="24"/>
          <w:lang w:val="en-US"/>
        </w:rPr>
      </w:pPr>
      <w:r w:rsidRPr="00350D4A">
        <w:rPr>
          <w:rFonts w:asciiTheme="majorHAnsi" w:hAnsiTheme="majorHAnsi" w:cs="Arial"/>
          <w:sz w:val="24"/>
          <w:szCs w:val="24"/>
          <w:lang w:val="en-US"/>
        </w:rPr>
        <w:t xml:space="preserve">Workshop of European Anthropologists (WEA), 1980, Recommendations for age and sex diagnosis of skeletons, </w:t>
      </w:r>
      <w:r w:rsidRPr="00350D4A">
        <w:rPr>
          <w:rFonts w:asciiTheme="majorHAnsi" w:hAnsiTheme="majorHAnsi" w:cs="Arial"/>
          <w:i/>
          <w:iCs/>
          <w:sz w:val="24"/>
          <w:szCs w:val="24"/>
          <w:lang w:val="en-US"/>
        </w:rPr>
        <w:t xml:space="preserve">Journal of Human Evolution </w:t>
      </w:r>
      <w:r w:rsidRPr="00350D4A">
        <w:rPr>
          <w:rFonts w:asciiTheme="majorHAnsi" w:hAnsiTheme="majorHAnsi" w:cs="Arial"/>
          <w:sz w:val="24"/>
          <w:szCs w:val="24"/>
          <w:lang w:val="en-US"/>
        </w:rPr>
        <w:t>9, 517-549.</w:t>
      </w:r>
    </w:p>
    <w:p w14:paraId="394321A3" w14:textId="77777777" w:rsidR="00C311C6" w:rsidRDefault="00C311C6" w:rsidP="00EC7448">
      <w:pPr>
        <w:spacing w:after="0"/>
        <w:rPr>
          <w:rFonts w:ascii="Cambria" w:hAnsi="Cambria"/>
          <w:sz w:val="24"/>
          <w:lang w:val="en-US" w:eastAsia="nl-NL"/>
        </w:rPr>
      </w:pPr>
      <w:r>
        <w:rPr>
          <w:rFonts w:ascii="Cambria" w:hAnsi="Cambria"/>
          <w:sz w:val="24"/>
          <w:lang w:val="en-US" w:eastAsia="nl-NL"/>
        </w:rPr>
        <w:br w:type="page"/>
      </w:r>
    </w:p>
    <w:p w14:paraId="5F6E4CF8" w14:textId="77777777" w:rsidR="00C311C6" w:rsidRPr="00C311C6" w:rsidRDefault="00C311C6" w:rsidP="00EC7448">
      <w:pPr>
        <w:spacing w:after="0" w:line="300" w:lineRule="auto"/>
        <w:rPr>
          <w:rFonts w:ascii="Cambria" w:hAnsi="Cambria"/>
          <w:sz w:val="24"/>
          <w:lang w:eastAsia="nl-NL"/>
        </w:rPr>
      </w:pPr>
      <w:r w:rsidRPr="00C311C6">
        <w:rPr>
          <w:rFonts w:ascii="Cambria" w:hAnsi="Cambria"/>
          <w:sz w:val="24"/>
          <w:lang w:eastAsia="nl-NL"/>
        </w:rPr>
        <w:lastRenderedPageBreak/>
        <w:t>Bijlage 1 Methoden en Technieken</w:t>
      </w:r>
    </w:p>
    <w:p w14:paraId="258BAF5F" w14:textId="77777777" w:rsidR="00EC7448" w:rsidRDefault="00EC7448" w:rsidP="00EC7448">
      <w:pPr>
        <w:spacing w:after="0"/>
        <w:jc w:val="both"/>
        <w:rPr>
          <w:rFonts w:asciiTheme="majorHAnsi" w:hAnsiTheme="majorHAnsi"/>
          <w:b/>
          <w:sz w:val="24"/>
          <w:szCs w:val="24"/>
        </w:rPr>
      </w:pPr>
    </w:p>
    <w:p w14:paraId="7AD38ADA" w14:textId="77777777" w:rsidR="00EC7448" w:rsidRPr="006645C9" w:rsidRDefault="00EC7448" w:rsidP="00EC7448">
      <w:pPr>
        <w:spacing w:after="0"/>
        <w:jc w:val="both"/>
        <w:rPr>
          <w:rFonts w:asciiTheme="majorHAnsi" w:hAnsiTheme="majorHAnsi"/>
          <w:b/>
          <w:sz w:val="24"/>
          <w:szCs w:val="24"/>
        </w:rPr>
      </w:pPr>
      <w:r w:rsidRPr="006645C9">
        <w:rPr>
          <w:rFonts w:asciiTheme="majorHAnsi" w:hAnsiTheme="majorHAnsi"/>
          <w:b/>
          <w:sz w:val="24"/>
          <w:szCs w:val="24"/>
        </w:rPr>
        <w:t>1. Methoden en technieken</w:t>
      </w:r>
    </w:p>
    <w:p w14:paraId="2082C801"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Voor de determinatie van menselijk skeletmateriaal zijn standaard methoden en technieken opgesteld. Deze methoden en technieken worden gebruikt om het geslacht, de leeftijd bij overlijden en de lichaamslengte te bepalen en om een uitspraak te doen over de staat van het gebit van het overleden individu. Daarnaast wordt het hele skelet bekeken voor de constatering op botveranderingen die kunnen duiden op ziekteverschijnselen. Aan de hand van deze factoren is het mogelijk om een uitspraak te doen over de samenstelling van het grafveld en de sociale positie van de overleden individuen die in het grafveld begraven lagen.</w:t>
      </w:r>
    </w:p>
    <w:p w14:paraId="543F9D1D" w14:textId="77777777" w:rsidR="00EC7448" w:rsidRPr="006645C9" w:rsidRDefault="00EC7448" w:rsidP="00EC7448">
      <w:pPr>
        <w:spacing w:after="0"/>
        <w:jc w:val="both"/>
        <w:rPr>
          <w:rFonts w:asciiTheme="majorHAnsi" w:hAnsiTheme="majorHAnsi" w:cs="Arial"/>
          <w:sz w:val="24"/>
          <w:szCs w:val="24"/>
        </w:rPr>
      </w:pPr>
    </w:p>
    <w:p w14:paraId="277B37B4"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De meest gangbare methoden en technieken voor de determinatie van menselijk skeletmateriaal zijn gecombineerd tot een standaard methode. Deze standaard methode wordt ook wel </w:t>
      </w:r>
      <w:r w:rsidRPr="006645C9">
        <w:rPr>
          <w:rFonts w:asciiTheme="majorHAnsi" w:hAnsiTheme="majorHAnsi"/>
          <w:sz w:val="24"/>
          <w:szCs w:val="24"/>
        </w:rPr>
        <w:t>‘</w:t>
      </w:r>
      <w:proofErr w:type="spellStart"/>
      <w:r w:rsidRPr="006645C9">
        <w:rPr>
          <w:rFonts w:asciiTheme="majorHAnsi" w:hAnsiTheme="majorHAnsi"/>
          <w:sz w:val="24"/>
          <w:szCs w:val="24"/>
        </w:rPr>
        <w:t>Barge’s</w:t>
      </w:r>
      <w:proofErr w:type="spellEnd"/>
      <w:r w:rsidRPr="006645C9">
        <w:rPr>
          <w:rFonts w:asciiTheme="majorHAnsi" w:hAnsiTheme="majorHAnsi"/>
          <w:sz w:val="24"/>
          <w:szCs w:val="24"/>
        </w:rPr>
        <w:t xml:space="preserve"> </w:t>
      </w:r>
      <w:proofErr w:type="spellStart"/>
      <w:r w:rsidRPr="006645C9">
        <w:rPr>
          <w:rFonts w:asciiTheme="majorHAnsi" w:hAnsiTheme="majorHAnsi"/>
          <w:sz w:val="24"/>
          <w:szCs w:val="24"/>
        </w:rPr>
        <w:t>Antropologica</w:t>
      </w:r>
      <w:proofErr w:type="spellEnd"/>
      <w:r w:rsidRPr="006645C9">
        <w:rPr>
          <w:rFonts w:asciiTheme="majorHAnsi" w:hAnsiTheme="majorHAnsi"/>
          <w:sz w:val="24"/>
          <w:szCs w:val="24"/>
        </w:rPr>
        <w:t>’ of</w:t>
      </w:r>
      <w:r w:rsidRPr="006645C9">
        <w:rPr>
          <w:rFonts w:asciiTheme="majorHAnsi" w:hAnsiTheme="majorHAnsi" w:cs="Arial"/>
          <w:sz w:val="24"/>
          <w:szCs w:val="24"/>
        </w:rPr>
        <w:t xml:space="preserve"> het ‘groene boekje’ genoemd.</w:t>
      </w:r>
      <w:r w:rsidRPr="006645C9">
        <w:rPr>
          <w:rStyle w:val="Voetnoottekens"/>
          <w:rFonts w:asciiTheme="majorHAnsi" w:hAnsiTheme="majorHAnsi" w:cs="Arial"/>
          <w:sz w:val="24"/>
          <w:szCs w:val="24"/>
        </w:rPr>
        <w:footnoteReference w:id="2"/>
      </w:r>
      <w:r w:rsidRPr="006645C9">
        <w:rPr>
          <w:rFonts w:asciiTheme="majorHAnsi" w:hAnsiTheme="majorHAnsi" w:cs="Arial"/>
          <w:sz w:val="24"/>
          <w:szCs w:val="24"/>
        </w:rPr>
        <w:t xml:space="preserve"> Naast de standaard methoden en technieken voor de determinatie van menselijk skeletmateriaal zijn er enkele andere methoden en technieken ter beschikking, maar van velen is de betrouwbaarheid nog onder discussie. Voor dit onderzoek is gebruik gemaakt van </w:t>
      </w:r>
      <w:proofErr w:type="spellStart"/>
      <w:r w:rsidRPr="006645C9">
        <w:rPr>
          <w:rFonts w:asciiTheme="majorHAnsi" w:hAnsiTheme="majorHAnsi"/>
          <w:sz w:val="24"/>
          <w:szCs w:val="24"/>
        </w:rPr>
        <w:t>Barge’s</w:t>
      </w:r>
      <w:proofErr w:type="spellEnd"/>
      <w:r w:rsidRPr="006645C9">
        <w:rPr>
          <w:rFonts w:asciiTheme="majorHAnsi" w:hAnsiTheme="majorHAnsi"/>
          <w:sz w:val="24"/>
          <w:szCs w:val="24"/>
        </w:rPr>
        <w:t xml:space="preserve"> </w:t>
      </w:r>
      <w:proofErr w:type="spellStart"/>
      <w:r w:rsidRPr="006645C9">
        <w:rPr>
          <w:rFonts w:asciiTheme="majorHAnsi" w:hAnsiTheme="majorHAnsi"/>
          <w:sz w:val="24"/>
          <w:szCs w:val="24"/>
        </w:rPr>
        <w:t>Antropologica</w:t>
      </w:r>
      <w:proofErr w:type="spellEnd"/>
      <w:r w:rsidRPr="006645C9">
        <w:rPr>
          <w:rFonts w:asciiTheme="majorHAnsi" w:hAnsiTheme="majorHAnsi" w:cs="Arial"/>
          <w:sz w:val="24"/>
          <w:szCs w:val="24"/>
        </w:rPr>
        <w:t xml:space="preserve"> en enkele aanvullende methoden (zie hieronder) om de leeftijd bij overlijden en het geslacht te kunnen bepalen indien er te weinig materiaal beschikbaar is voor een determinatie aan de hand van de standaard methode.</w:t>
      </w:r>
    </w:p>
    <w:p w14:paraId="3D14C9E2" w14:textId="77777777" w:rsidR="00EC7448" w:rsidRPr="006645C9" w:rsidRDefault="00EC7448" w:rsidP="00EC7448">
      <w:pPr>
        <w:spacing w:after="0"/>
        <w:jc w:val="both"/>
        <w:rPr>
          <w:rFonts w:asciiTheme="majorHAnsi" w:hAnsiTheme="majorHAnsi" w:cs="Arial"/>
          <w:sz w:val="24"/>
          <w:szCs w:val="24"/>
        </w:rPr>
      </w:pPr>
    </w:p>
    <w:p w14:paraId="6191C69B" w14:textId="77777777" w:rsidR="00EC7448" w:rsidRPr="006645C9" w:rsidRDefault="00EC7448" w:rsidP="00EC7448">
      <w:pPr>
        <w:spacing w:after="0"/>
        <w:jc w:val="both"/>
        <w:rPr>
          <w:rFonts w:asciiTheme="majorHAnsi" w:hAnsiTheme="majorHAnsi" w:cs="Arial"/>
          <w:b/>
          <w:bCs/>
          <w:sz w:val="24"/>
          <w:szCs w:val="24"/>
        </w:rPr>
      </w:pPr>
      <w:r w:rsidRPr="006645C9">
        <w:rPr>
          <w:rFonts w:asciiTheme="majorHAnsi" w:hAnsiTheme="majorHAnsi" w:cs="Arial"/>
          <w:b/>
          <w:bCs/>
          <w:sz w:val="24"/>
          <w:szCs w:val="24"/>
        </w:rPr>
        <w:t xml:space="preserve">1.1 Conservering </w:t>
      </w:r>
    </w:p>
    <w:p w14:paraId="307D0A8A" w14:textId="77777777" w:rsidR="00EC7448" w:rsidRPr="006645C9" w:rsidRDefault="00EC7448" w:rsidP="00EC7448">
      <w:pPr>
        <w:spacing w:after="0"/>
        <w:jc w:val="both"/>
        <w:rPr>
          <w:rFonts w:asciiTheme="majorHAnsi" w:hAnsiTheme="majorHAnsi" w:cs="Arial"/>
          <w:bCs/>
          <w:sz w:val="24"/>
          <w:szCs w:val="24"/>
        </w:rPr>
      </w:pPr>
      <w:r w:rsidRPr="006645C9">
        <w:rPr>
          <w:rFonts w:asciiTheme="majorHAnsi" w:hAnsiTheme="majorHAnsi" w:cs="Arial"/>
          <w:bCs/>
          <w:sz w:val="24"/>
          <w:szCs w:val="24"/>
        </w:rPr>
        <w:t>De mate van conservering heeft een grote invloed op de determinatiemogelijkheden. In de meest gunstige omstandigheden is het skelet volledig, zijn de individuele botten niet gefragmenteerd en is de cortex (de wand van het bot) onbeschadigd. In het slechtste geval is het botmateriaal zo ver vergaan dat er slechts een lijksilhouet over is.</w:t>
      </w:r>
    </w:p>
    <w:p w14:paraId="480A2EFE" w14:textId="77777777" w:rsidR="00EC7448" w:rsidRPr="006645C9" w:rsidRDefault="00EC7448" w:rsidP="00EC7448">
      <w:pPr>
        <w:spacing w:after="0"/>
        <w:jc w:val="both"/>
        <w:rPr>
          <w:rFonts w:asciiTheme="majorHAnsi" w:hAnsiTheme="majorHAnsi" w:cs="Arial"/>
          <w:bCs/>
          <w:sz w:val="24"/>
          <w:szCs w:val="24"/>
        </w:rPr>
      </w:pPr>
      <w:r w:rsidRPr="006645C9">
        <w:rPr>
          <w:rFonts w:asciiTheme="majorHAnsi" w:hAnsiTheme="majorHAnsi" w:cs="Arial"/>
          <w:bCs/>
          <w:sz w:val="24"/>
          <w:szCs w:val="24"/>
        </w:rPr>
        <w:t>De conservering van het materiaal is bij determinatie in zes categorieën opgedeeld:</w:t>
      </w:r>
    </w:p>
    <w:p w14:paraId="49B99E77" w14:textId="77777777" w:rsidR="00EC7448" w:rsidRPr="006645C9" w:rsidRDefault="00EC7448" w:rsidP="00EC7448">
      <w:pPr>
        <w:spacing w:after="0"/>
        <w:jc w:val="both"/>
        <w:rPr>
          <w:rFonts w:asciiTheme="majorHAnsi" w:hAnsiTheme="majorHAnsi" w:cs="Arial"/>
          <w:bCs/>
          <w:sz w:val="24"/>
          <w:szCs w:val="24"/>
        </w:rPr>
      </w:pPr>
    </w:p>
    <w:p w14:paraId="71010D0D" w14:textId="77777777" w:rsidR="00EC7448" w:rsidRPr="006645C9" w:rsidRDefault="00EC7448" w:rsidP="00EC7448">
      <w:pPr>
        <w:numPr>
          <w:ilvl w:val="0"/>
          <w:numId w:val="3"/>
        </w:numPr>
        <w:spacing w:after="0"/>
        <w:ind w:left="0"/>
        <w:jc w:val="both"/>
        <w:rPr>
          <w:rFonts w:asciiTheme="majorHAnsi" w:hAnsiTheme="majorHAnsi" w:cs="Arial"/>
          <w:bCs/>
          <w:sz w:val="24"/>
          <w:szCs w:val="24"/>
        </w:rPr>
      </w:pPr>
      <w:r w:rsidRPr="006645C9">
        <w:rPr>
          <w:rFonts w:asciiTheme="majorHAnsi" w:hAnsiTheme="majorHAnsi" w:cs="Arial"/>
          <w:bCs/>
          <w:sz w:val="24"/>
          <w:szCs w:val="24"/>
        </w:rPr>
        <w:t>Zeer goed: de cortex van het bot is onbeschadigd en het materiaal is niet gefragmenteerd</w:t>
      </w:r>
    </w:p>
    <w:p w14:paraId="505E930C" w14:textId="77777777" w:rsidR="00EC7448" w:rsidRPr="006645C9" w:rsidRDefault="00EC7448" w:rsidP="00EC7448">
      <w:pPr>
        <w:numPr>
          <w:ilvl w:val="0"/>
          <w:numId w:val="3"/>
        </w:numPr>
        <w:spacing w:after="0"/>
        <w:ind w:left="0"/>
        <w:jc w:val="both"/>
        <w:rPr>
          <w:rFonts w:asciiTheme="majorHAnsi" w:hAnsiTheme="majorHAnsi" w:cs="Arial"/>
          <w:bCs/>
          <w:sz w:val="24"/>
          <w:szCs w:val="24"/>
        </w:rPr>
      </w:pPr>
      <w:r w:rsidRPr="006645C9">
        <w:rPr>
          <w:rFonts w:asciiTheme="majorHAnsi" w:hAnsiTheme="majorHAnsi" w:cs="Arial"/>
          <w:bCs/>
          <w:sz w:val="24"/>
          <w:szCs w:val="24"/>
        </w:rPr>
        <w:t>Goed: de cortex van het bot is zo goed als onbeschadigd en het materiaal is amper gefragmenteerd</w:t>
      </w:r>
    </w:p>
    <w:p w14:paraId="573C1FC8" w14:textId="77777777" w:rsidR="00EC7448" w:rsidRPr="006645C9" w:rsidRDefault="00EC7448" w:rsidP="00EC7448">
      <w:pPr>
        <w:numPr>
          <w:ilvl w:val="0"/>
          <w:numId w:val="3"/>
        </w:numPr>
        <w:spacing w:after="0"/>
        <w:ind w:left="0"/>
        <w:jc w:val="both"/>
        <w:rPr>
          <w:rFonts w:asciiTheme="majorHAnsi" w:hAnsiTheme="majorHAnsi" w:cs="Arial"/>
          <w:bCs/>
          <w:sz w:val="24"/>
          <w:szCs w:val="24"/>
        </w:rPr>
      </w:pPr>
      <w:r w:rsidRPr="006645C9">
        <w:rPr>
          <w:rFonts w:asciiTheme="majorHAnsi" w:hAnsiTheme="majorHAnsi" w:cs="Arial"/>
          <w:bCs/>
          <w:sz w:val="24"/>
          <w:szCs w:val="24"/>
        </w:rPr>
        <w:t>Goed-matig: De cortex ontbreekt gedeeltelijk en het materiaal is amper gefragmenteerd</w:t>
      </w:r>
    </w:p>
    <w:p w14:paraId="389C0F21" w14:textId="77777777" w:rsidR="00EC7448" w:rsidRPr="006645C9" w:rsidRDefault="00EC7448" w:rsidP="00EC7448">
      <w:pPr>
        <w:numPr>
          <w:ilvl w:val="0"/>
          <w:numId w:val="3"/>
        </w:numPr>
        <w:spacing w:after="0"/>
        <w:ind w:left="0"/>
        <w:jc w:val="both"/>
        <w:rPr>
          <w:rFonts w:asciiTheme="majorHAnsi" w:hAnsiTheme="majorHAnsi" w:cs="Arial"/>
          <w:bCs/>
          <w:sz w:val="24"/>
          <w:szCs w:val="24"/>
        </w:rPr>
      </w:pPr>
      <w:r w:rsidRPr="006645C9">
        <w:rPr>
          <w:rFonts w:asciiTheme="majorHAnsi" w:hAnsiTheme="majorHAnsi" w:cs="Arial"/>
          <w:bCs/>
          <w:sz w:val="24"/>
          <w:szCs w:val="24"/>
        </w:rPr>
        <w:t>Matig: De cortex ontbreek</w:t>
      </w:r>
      <w:r w:rsidR="00A92322">
        <w:rPr>
          <w:rFonts w:asciiTheme="majorHAnsi" w:hAnsiTheme="majorHAnsi" w:cs="Arial"/>
          <w:bCs/>
          <w:sz w:val="24"/>
          <w:szCs w:val="24"/>
        </w:rPr>
        <w:t>t</w:t>
      </w:r>
      <w:r w:rsidRPr="006645C9">
        <w:rPr>
          <w:rFonts w:asciiTheme="majorHAnsi" w:hAnsiTheme="majorHAnsi" w:cs="Arial"/>
          <w:bCs/>
          <w:sz w:val="24"/>
          <w:szCs w:val="24"/>
        </w:rPr>
        <w:t xml:space="preserve"> gedeeltelijk en het materiaal is gefragmenteerd.</w:t>
      </w:r>
    </w:p>
    <w:p w14:paraId="55FD25CD" w14:textId="77777777" w:rsidR="00EC7448" w:rsidRPr="006645C9" w:rsidRDefault="00EC7448" w:rsidP="00EC7448">
      <w:pPr>
        <w:numPr>
          <w:ilvl w:val="0"/>
          <w:numId w:val="3"/>
        </w:numPr>
        <w:spacing w:after="0"/>
        <w:ind w:left="0"/>
        <w:jc w:val="both"/>
        <w:rPr>
          <w:rFonts w:asciiTheme="majorHAnsi" w:hAnsiTheme="majorHAnsi" w:cs="Arial"/>
          <w:bCs/>
          <w:sz w:val="24"/>
          <w:szCs w:val="24"/>
        </w:rPr>
      </w:pPr>
      <w:r w:rsidRPr="006645C9">
        <w:rPr>
          <w:rFonts w:asciiTheme="majorHAnsi" w:hAnsiTheme="majorHAnsi" w:cs="Arial"/>
          <w:bCs/>
          <w:sz w:val="24"/>
          <w:szCs w:val="24"/>
        </w:rPr>
        <w:t>Matig-slecht: De cortex ontbreek</w:t>
      </w:r>
      <w:r w:rsidR="00A92322">
        <w:rPr>
          <w:rFonts w:asciiTheme="majorHAnsi" w:hAnsiTheme="majorHAnsi" w:cs="Arial"/>
          <w:bCs/>
          <w:sz w:val="24"/>
          <w:szCs w:val="24"/>
        </w:rPr>
        <w:t>t</w:t>
      </w:r>
      <w:r w:rsidRPr="006645C9">
        <w:rPr>
          <w:rFonts w:asciiTheme="majorHAnsi" w:hAnsiTheme="majorHAnsi" w:cs="Arial"/>
          <w:bCs/>
          <w:sz w:val="24"/>
          <w:szCs w:val="24"/>
        </w:rPr>
        <w:t xml:space="preserve"> gedeeltelijk of geheel, het materiaal is sterk gefragmenteerd en de broze delen van het skelet zijn deels of volledig vergaan.</w:t>
      </w:r>
    </w:p>
    <w:p w14:paraId="6BA007E1" w14:textId="77777777" w:rsidR="00EC7448" w:rsidRPr="006645C9" w:rsidRDefault="00EC7448" w:rsidP="00EC7448">
      <w:pPr>
        <w:numPr>
          <w:ilvl w:val="0"/>
          <w:numId w:val="3"/>
        </w:numPr>
        <w:spacing w:after="0"/>
        <w:ind w:left="0"/>
        <w:jc w:val="both"/>
        <w:rPr>
          <w:rFonts w:asciiTheme="majorHAnsi" w:hAnsiTheme="majorHAnsi" w:cs="Arial"/>
          <w:bCs/>
          <w:sz w:val="24"/>
          <w:szCs w:val="24"/>
        </w:rPr>
      </w:pPr>
      <w:r w:rsidRPr="006645C9">
        <w:rPr>
          <w:rFonts w:asciiTheme="majorHAnsi" w:hAnsiTheme="majorHAnsi" w:cs="Arial"/>
          <w:bCs/>
          <w:sz w:val="24"/>
          <w:szCs w:val="24"/>
        </w:rPr>
        <w:t>Slecht: het materiaal is compleet vergaan en/of verpulverd. Er is geen determinatie meer mogelijk.</w:t>
      </w:r>
    </w:p>
    <w:p w14:paraId="755B3DD8" w14:textId="77777777" w:rsidR="00EC7448" w:rsidRPr="006645C9" w:rsidRDefault="00EC7448" w:rsidP="00EC7448">
      <w:pPr>
        <w:spacing w:after="0"/>
        <w:jc w:val="both"/>
        <w:rPr>
          <w:rFonts w:asciiTheme="majorHAnsi" w:hAnsiTheme="majorHAnsi" w:cs="Arial"/>
          <w:bCs/>
          <w:sz w:val="24"/>
          <w:szCs w:val="24"/>
        </w:rPr>
      </w:pPr>
    </w:p>
    <w:p w14:paraId="48607217" w14:textId="77777777" w:rsidR="00EC7448" w:rsidRPr="006645C9" w:rsidRDefault="00EC7448" w:rsidP="00EC7448">
      <w:pPr>
        <w:spacing w:after="0"/>
        <w:jc w:val="both"/>
        <w:rPr>
          <w:rFonts w:asciiTheme="majorHAnsi" w:hAnsiTheme="majorHAnsi" w:cs="Arial"/>
          <w:bCs/>
          <w:sz w:val="24"/>
          <w:szCs w:val="24"/>
        </w:rPr>
      </w:pPr>
      <w:r w:rsidRPr="006645C9">
        <w:rPr>
          <w:rFonts w:asciiTheme="majorHAnsi" w:hAnsiTheme="majorHAnsi" w:cs="Arial"/>
          <w:bCs/>
          <w:sz w:val="24"/>
          <w:szCs w:val="24"/>
        </w:rPr>
        <w:t xml:space="preserve">Om een beeld te krijgen van de compleetheid van het materiaal, wordt er per individu een inventaris bijgehouden van welke lichaamsdelen er aanwezig en afwezig zijn. Per </w:t>
      </w:r>
      <w:r w:rsidRPr="006645C9">
        <w:rPr>
          <w:rFonts w:asciiTheme="majorHAnsi" w:hAnsiTheme="majorHAnsi" w:cs="Arial"/>
          <w:bCs/>
          <w:sz w:val="24"/>
          <w:szCs w:val="24"/>
        </w:rPr>
        <w:lastRenderedPageBreak/>
        <w:t>individu worden de aanwezige lichaamsdelen gemarkeerd in een basis afbeelding van het skelet. De aanwezige delen worden zwart gemarkeerd en de aanwezige maar zeer sterk gefragmenteerde delen van de schedel worden grijs gemarkeerd. De afwezige delen blijven wit.</w:t>
      </w:r>
    </w:p>
    <w:p w14:paraId="3705C87A" w14:textId="77777777" w:rsidR="00EC7448" w:rsidRPr="006645C9" w:rsidRDefault="00EC7448" w:rsidP="00EC7448">
      <w:pPr>
        <w:spacing w:after="0"/>
        <w:jc w:val="both"/>
        <w:rPr>
          <w:rFonts w:asciiTheme="majorHAnsi" w:hAnsiTheme="majorHAnsi" w:cs="Arial"/>
          <w:b/>
          <w:bCs/>
          <w:sz w:val="24"/>
          <w:szCs w:val="24"/>
        </w:rPr>
      </w:pPr>
    </w:p>
    <w:p w14:paraId="73E8CE47" w14:textId="77777777" w:rsidR="00EC7448" w:rsidRPr="006645C9" w:rsidRDefault="00EC7448" w:rsidP="00EC7448">
      <w:pPr>
        <w:spacing w:after="0"/>
        <w:jc w:val="both"/>
        <w:rPr>
          <w:rFonts w:asciiTheme="majorHAnsi" w:hAnsiTheme="majorHAnsi" w:cs="Arial"/>
          <w:b/>
          <w:bCs/>
          <w:sz w:val="24"/>
          <w:szCs w:val="24"/>
        </w:rPr>
      </w:pPr>
      <w:r w:rsidRPr="006645C9">
        <w:rPr>
          <w:rFonts w:asciiTheme="majorHAnsi" w:hAnsiTheme="majorHAnsi" w:cs="Arial"/>
          <w:b/>
          <w:bCs/>
          <w:sz w:val="24"/>
          <w:szCs w:val="24"/>
        </w:rPr>
        <w:t>1.2 Geslacht</w:t>
      </w:r>
    </w:p>
    <w:p w14:paraId="453E7174"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Het geslacht wordt bepaald aan de hand van 10 kenmerken aan het bekken, 4 kenmerken aan de onderkaak en 11 kenmerken aan de schedel. Elk kenmerk krijgt een positieve (mannelijke) of negatieve (vrouwelijke) score, welke per lichaamsonderdeel worden berekend (sommige kenmerken wegen zwaarder dan andere) tot één uitkomst. Aan de hand van de uitkomst van het bekken, de onderkaak en de schedel wordt het geslacht vastgesteld. Het bekken is het meest bepalend voor de definitieve geslachtsbepaling. De onderkaak wordt alleen als aanvullende geslachtsindicator gebruikt. </w:t>
      </w:r>
    </w:p>
    <w:p w14:paraId="07934C21"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Bij de geslachtsdeterminatie in dit onderzoek worden de uitkomsten tussen de -0,5 en de 0,5 als onbetrouwbaar beschouwd. </w:t>
      </w:r>
    </w:p>
    <w:p w14:paraId="38DC516D" w14:textId="77777777" w:rsidR="00EC7448" w:rsidRPr="006645C9" w:rsidRDefault="00EC7448" w:rsidP="00EC7448">
      <w:pPr>
        <w:spacing w:after="0"/>
        <w:jc w:val="both"/>
        <w:rPr>
          <w:rFonts w:asciiTheme="majorHAnsi" w:hAnsiTheme="majorHAnsi" w:cs="Arial"/>
          <w:sz w:val="24"/>
          <w:szCs w:val="24"/>
        </w:rPr>
      </w:pPr>
    </w:p>
    <w:p w14:paraId="772C885A" w14:textId="77777777" w:rsidR="00EC7448" w:rsidRPr="006645C9" w:rsidRDefault="00EC7448" w:rsidP="00EC7448">
      <w:pPr>
        <w:spacing w:after="0"/>
        <w:jc w:val="both"/>
        <w:rPr>
          <w:rFonts w:asciiTheme="majorHAnsi" w:hAnsiTheme="majorHAnsi" w:cs="Arial"/>
          <w:sz w:val="24"/>
          <w:szCs w:val="24"/>
        </w:rPr>
      </w:pPr>
      <w:r>
        <w:rPr>
          <w:rFonts w:asciiTheme="majorHAnsi" w:hAnsiTheme="majorHAnsi" w:cs="Arial"/>
          <w:sz w:val="24"/>
          <w:szCs w:val="24"/>
        </w:rPr>
        <w:t xml:space="preserve">Bij kinderen is een geslachtsdeterminatie beperkt mogelijk. H. </w:t>
      </w:r>
      <w:proofErr w:type="spellStart"/>
      <w:r>
        <w:rPr>
          <w:rFonts w:asciiTheme="majorHAnsi" w:hAnsiTheme="majorHAnsi" w:cs="Arial"/>
          <w:sz w:val="24"/>
          <w:szCs w:val="24"/>
        </w:rPr>
        <w:t>Schutkowski</w:t>
      </w:r>
      <w:proofErr w:type="spellEnd"/>
      <w:r>
        <w:rPr>
          <w:rStyle w:val="Voetnootmarkering"/>
          <w:rFonts w:asciiTheme="majorHAnsi" w:hAnsiTheme="majorHAnsi" w:cs="Arial"/>
          <w:sz w:val="24"/>
          <w:szCs w:val="24"/>
        </w:rPr>
        <w:footnoteReference w:id="3"/>
      </w:r>
      <w:r>
        <w:rPr>
          <w:rFonts w:asciiTheme="majorHAnsi" w:hAnsiTheme="majorHAnsi" w:cs="Arial"/>
          <w:sz w:val="24"/>
          <w:szCs w:val="24"/>
        </w:rPr>
        <w:t xml:space="preserve"> heeft twee methoden ontwikkeld om het geslacht bij kinderen vast te stellen bij een leeftijd van 0 tot 5 jaar</w:t>
      </w:r>
      <w:r w:rsidR="0079567C">
        <w:rPr>
          <w:rFonts w:asciiTheme="majorHAnsi" w:hAnsiTheme="majorHAnsi" w:cs="Arial"/>
          <w:sz w:val="24"/>
          <w:szCs w:val="24"/>
        </w:rPr>
        <w:t>,</w:t>
      </w:r>
      <w:r>
        <w:rPr>
          <w:rFonts w:asciiTheme="majorHAnsi" w:hAnsiTheme="majorHAnsi" w:cs="Arial"/>
          <w:sz w:val="24"/>
          <w:szCs w:val="24"/>
        </w:rPr>
        <w:t xml:space="preserve"> aan de hand van het </w:t>
      </w:r>
      <w:proofErr w:type="spellStart"/>
      <w:r>
        <w:rPr>
          <w:rFonts w:asciiTheme="majorHAnsi" w:hAnsiTheme="majorHAnsi" w:cs="Arial"/>
          <w:sz w:val="24"/>
          <w:szCs w:val="24"/>
        </w:rPr>
        <w:t>ongefuseerde</w:t>
      </w:r>
      <w:proofErr w:type="spellEnd"/>
      <w:r>
        <w:rPr>
          <w:rFonts w:asciiTheme="majorHAnsi" w:hAnsiTheme="majorHAnsi" w:cs="Arial"/>
          <w:sz w:val="24"/>
          <w:szCs w:val="24"/>
        </w:rPr>
        <w:t xml:space="preserve"> bekkenblad. Deze methoden zijn voor ca. 70% betrouwbaar. Voor de oudere leeftijdscategorieën zijn nog geen methoden bekend om het geslacht vast te stellen. </w:t>
      </w:r>
      <w:r w:rsidRPr="006645C9">
        <w:rPr>
          <w:rFonts w:asciiTheme="majorHAnsi" w:hAnsiTheme="majorHAnsi" w:cs="Arial"/>
          <w:sz w:val="24"/>
          <w:szCs w:val="24"/>
        </w:rPr>
        <w:t xml:space="preserve">De geslachtskenmerken ontwikkelen zich gedurende de ontwikkeling van het lichaam. Pas als het lichaam voldoende volgroeid is (ongeveer 22 jaar en ouder), is het mogelijk om </w:t>
      </w:r>
      <w:r>
        <w:rPr>
          <w:rFonts w:asciiTheme="majorHAnsi" w:hAnsiTheme="majorHAnsi" w:cs="Arial"/>
          <w:sz w:val="24"/>
          <w:szCs w:val="24"/>
        </w:rPr>
        <w:t xml:space="preserve">betrouwbaar </w:t>
      </w:r>
      <w:r w:rsidRPr="006645C9">
        <w:rPr>
          <w:rFonts w:asciiTheme="majorHAnsi" w:hAnsiTheme="majorHAnsi" w:cs="Arial"/>
          <w:sz w:val="24"/>
          <w:szCs w:val="24"/>
        </w:rPr>
        <w:t xml:space="preserve">het geslacht te bepalen. Onvolwassen individuen lijken </w:t>
      </w:r>
      <w:r>
        <w:rPr>
          <w:rFonts w:asciiTheme="majorHAnsi" w:hAnsiTheme="majorHAnsi" w:cs="Arial"/>
          <w:sz w:val="24"/>
          <w:szCs w:val="24"/>
        </w:rPr>
        <w:t>als gevolg van de onderontwikkeling van de geslachtskenmerken</w:t>
      </w:r>
      <w:r w:rsidRPr="006645C9">
        <w:rPr>
          <w:rFonts w:asciiTheme="majorHAnsi" w:hAnsiTheme="majorHAnsi" w:cs="Arial"/>
          <w:sz w:val="24"/>
          <w:szCs w:val="24"/>
        </w:rPr>
        <w:t xml:space="preserve"> altijd vrouwelijk te zijn.</w:t>
      </w:r>
    </w:p>
    <w:p w14:paraId="0277E906" w14:textId="77777777" w:rsidR="00EC7448" w:rsidRPr="006645C9" w:rsidRDefault="00EC7448" w:rsidP="00EC7448">
      <w:pPr>
        <w:spacing w:after="0"/>
        <w:jc w:val="both"/>
        <w:rPr>
          <w:rFonts w:asciiTheme="majorHAnsi" w:hAnsiTheme="majorHAnsi" w:cs="Arial"/>
          <w:sz w:val="24"/>
          <w:szCs w:val="24"/>
        </w:rPr>
      </w:pPr>
    </w:p>
    <w:p w14:paraId="4D333643" w14:textId="77777777" w:rsidR="00EC7448" w:rsidRPr="006645C9" w:rsidRDefault="00EC7448" w:rsidP="00EC7448">
      <w:pPr>
        <w:spacing w:after="0"/>
        <w:jc w:val="both"/>
        <w:rPr>
          <w:rFonts w:asciiTheme="majorHAnsi" w:hAnsiTheme="majorHAnsi" w:cs="Arial"/>
          <w:b/>
          <w:bCs/>
          <w:sz w:val="24"/>
          <w:szCs w:val="24"/>
        </w:rPr>
      </w:pPr>
      <w:r w:rsidRPr="006645C9">
        <w:rPr>
          <w:rFonts w:asciiTheme="majorHAnsi" w:hAnsiTheme="majorHAnsi" w:cs="Arial"/>
          <w:b/>
          <w:bCs/>
          <w:sz w:val="24"/>
          <w:szCs w:val="24"/>
        </w:rPr>
        <w:t>1.3 Leeftijd bij overlijden</w:t>
      </w:r>
    </w:p>
    <w:p w14:paraId="40B59331"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Onder volwassen individuen worden individuen vanaf 22 jaar oud verstaan. Rond het tweeëntwintigste levensjaar is het menselijk lichaam namelijk volledig volgroeid.</w:t>
      </w:r>
    </w:p>
    <w:p w14:paraId="10DC8A08"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De leeftijd bij overlijden van onvolwassen individuen is vaak nauwkeuriger en betrouwbaarder dan de leeftijd bij overlijden van volwassenen, omdat het lichaam van onvolwassen individuen nog in ontwikkeling is. Vele ontwikkelingsstadia kunnen nauwkeurig gekoppeld worden aan een leeftijd, maar er moet wel rekening gehouden worden met het feit dat de gezondheid van een individu de ontwikkelingssnelheid van het lichaam kan beïnvloeden. </w:t>
      </w:r>
    </w:p>
    <w:p w14:paraId="77A81677" w14:textId="77777777" w:rsidR="00EC7448" w:rsidRPr="006645C9" w:rsidRDefault="00EC7448" w:rsidP="00EC7448">
      <w:pPr>
        <w:spacing w:after="0"/>
        <w:jc w:val="both"/>
        <w:rPr>
          <w:rFonts w:asciiTheme="majorHAnsi" w:hAnsiTheme="majorHAnsi" w:cs="Arial"/>
          <w:sz w:val="24"/>
          <w:szCs w:val="24"/>
        </w:rPr>
      </w:pPr>
    </w:p>
    <w:p w14:paraId="0672D0F7"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De leeftijd bij overlijden van onvolwassen individuen (jonger dan 22 jaar) kan op vier manieren worden vastgesteld. Waar mogelijk worden deze methoden gecombineerd. De leeftijd van onvolwassen individuen wordt bepaald door te kijken naar de doorbraak </w:t>
      </w:r>
      <w:r w:rsidRPr="006645C9">
        <w:rPr>
          <w:rFonts w:asciiTheme="majorHAnsi" w:hAnsiTheme="majorHAnsi" w:cs="Arial"/>
          <w:sz w:val="24"/>
          <w:szCs w:val="24"/>
        </w:rPr>
        <w:lastRenderedPageBreak/>
        <w:t>van de gebitselementen</w:t>
      </w:r>
      <w:r w:rsidRPr="006645C9">
        <w:rPr>
          <w:rStyle w:val="Voetnoottekens"/>
          <w:rFonts w:asciiTheme="majorHAnsi" w:hAnsiTheme="majorHAnsi" w:cs="Arial"/>
          <w:sz w:val="24"/>
          <w:szCs w:val="24"/>
        </w:rPr>
        <w:footnoteReference w:id="4"/>
      </w:r>
      <w:r w:rsidRPr="006645C9">
        <w:rPr>
          <w:rFonts w:asciiTheme="majorHAnsi" w:hAnsiTheme="majorHAnsi" w:cs="Arial"/>
          <w:sz w:val="24"/>
          <w:szCs w:val="24"/>
        </w:rPr>
        <w:t>, naar de fusering van de verschillende skeletonderdelen van de schedel, de wervelkolom en het bekken</w:t>
      </w:r>
      <w:r w:rsidRPr="006645C9">
        <w:rPr>
          <w:rStyle w:val="Voetnoottekens"/>
          <w:rFonts w:asciiTheme="majorHAnsi" w:hAnsiTheme="majorHAnsi" w:cs="Arial"/>
          <w:sz w:val="24"/>
          <w:szCs w:val="24"/>
        </w:rPr>
        <w:footnoteReference w:id="5"/>
      </w:r>
      <w:r w:rsidRPr="006645C9">
        <w:rPr>
          <w:rFonts w:asciiTheme="majorHAnsi" w:hAnsiTheme="majorHAnsi" w:cs="Arial"/>
          <w:sz w:val="24"/>
          <w:szCs w:val="24"/>
        </w:rPr>
        <w:t>, naar de lengte van de lange beenderen met of zonder gewrichtsuiteinden (zonder epifyseschijven)</w:t>
      </w:r>
      <w:r w:rsidRPr="006645C9">
        <w:rPr>
          <w:rStyle w:val="Voetnoottekens"/>
          <w:rFonts w:asciiTheme="majorHAnsi" w:hAnsiTheme="majorHAnsi" w:cs="Arial"/>
          <w:sz w:val="24"/>
          <w:szCs w:val="24"/>
        </w:rPr>
        <w:footnoteReference w:id="6"/>
      </w:r>
      <w:r w:rsidRPr="006645C9">
        <w:rPr>
          <w:rFonts w:asciiTheme="majorHAnsi" w:hAnsiTheme="majorHAnsi" w:cs="Arial"/>
          <w:sz w:val="24"/>
          <w:szCs w:val="24"/>
        </w:rPr>
        <w:t xml:space="preserve"> en naar de fusering van de uiteinden (epifyseschijven) van de lange beenderen.</w:t>
      </w:r>
      <w:r w:rsidRPr="006645C9">
        <w:rPr>
          <w:rStyle w:val="Voetnoottekens"/>
          <w:rFonts w:asciiTheme="majorHAnsi" w:hAnsiTheme="majorHAnsi" w:cs="Arial"/>
          <w:sz w:val="24"/>
          <w:szCs w:val="24"/>
        </w:rPr>
        <w:footnoteReference w:id="7"/>
      </w:r>
      <w:r w:rsidRPr="006645C9">
        <w:rPr>
          <w:rFonts w:asciiTheme="majorHAnsi" w:hAnsiTheme="majorHAnsi" w:cs="Arial"/>
          <w:sz w:val="24"/>
          <w:szCs w:val="24"/>
        </w:rPr>
        <w:t xml:space="preserve">  </w:t>
      </w:r>
    </w:p>
    <w:p w14:paraId="7DC73F69" w14:textId="77777777" w:rsidR="00EC7448" w:rsidRPr="006645C9" w:rsidRDefault="00EC7448" w:rsidP="00EC7448">
      <w:pPr>
        <w:spacing w:after="0"/>
        <w:jc w:val="both"/>
        <w:rPr>
          <w:rFonts w:asciiTheme="majorHAnsi" w:hAnsiTheme="majorHAnsi" w:cs="Arial"/>
          <w:sz w:val="24"/>
          <w:szCs w:val="24"/>
        </w:rPr>
      </w:pPr>
    </w:p>
    <w:p w14:paraId="5FD89B60"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De leeftijd bij overlijden van volwassenen (boven de 22 jaar) is bepaald aan de hand van de complexe methode</w:t>
      </w:r>
      <w:r w:rsidRPr="006645C9">
        <w:rPr>
          <w:rStyle w:val="Voetnootmarkering"/>
          <w:rFonts w:asciiTheme="majorHAnsi" w:hAnsiTheme="majorHAnsi" w:cs="Arial"/>
          <w:sz w:val="24"/>
          <w:szCs w:val="24"/>
        </w:rPr>
        <w:footnoteReference w:id="8"/>
      </w:r>
      <w:r w:rsidRPr="006645C9">
        <w:rPr>
          <w:rFonts w:asciiTheme="majorHAnsi" w:hAnsiTheme="majorHAnsi" w:cs="Arial"/>
          <w:sz w:val="24"/>
          <w:szCs w:val="24"/>
        </w:rPr>
        <w:t>, dat wil zeggen, door middel van een combinatie van vier methoden voor de bepaling van de leeftijd bij overlijden.</w:t>
      </w:r>
      <w:r w:rsidRPr="006645C9">
        <w:rPr>
          <w:rStyle w:val="Voetnoottekens"/>
          <w:rFonts w:asciiTheme="majorHAnsi" w:hAnsiTheme="majorHAnsi" w:cs="Arial"/>
          <w:sz w:val="24"/>
          <w:szCs w:val="24"/>
        </w:rPr>
        <w:footnoteReference w:id="9"/>
      </w:r>
      <w:r w:rsidRPr="006645C9">
        <w:rPr>
          <w:rFonts w:asciiTheme="majorHAnsi" w:hAnsiTheme="majorHAnsi" w:cs="Arial"/>
          <w:sz w:val="24"/>
          <w:szCs w:val="24"/>
        </w:rPr>
        <w:t xml:space="preserve"> De leeftijd bij overlijden is bepaald aan de hand van de slijtage op het schaambeen, de vergroeiing van de schedelnaden en de poreusheid van de proximale opperarm en het proximale dijbeen.</w:t>
      </w:r>
      <w:r w:rsidRPr="006645C9">
        <w:rPr>
          <w:rStyle w:val="Voetnoottekens"/>
          <w:rFonts w:asciiTheme="majorHAnsi" w:hAnsiTheme="majorHAnsi" w:cs="Arial"/>
          <w:sz w:val="24"/>
          <w:szCs w:val="24"/>
        </w:rPr>
        <w:footnoteReference w:id="10"/>
      </w:r>
      <w:r w:rsidRPr="006645C9">
        <w:rPr>
          <w:rFonts w:asciiTheme="majorHAnsi" w:hAnsiTheme="majorHAnsi" w:cs="Arial"/>
          <w:sz w:val="24"/>
          <w:szCs w:val="24"/>
        </w:rPr>
        <w:t xml:space="preserve"> De complexe methode is de meest gangbare methode voor de determinatie van de leeftijd bij overlijden van volwassenen in Nederland. Indien er te weinig materiaal beschikbaar is om tot een leeftijd bij overlijden te komen aan de hand van de complexe methode, is er ter aanvulling ook gekeken naar de degeneratieve veranderingen in het darmbeen.</w:t>
      </w:r>
      <w:r w:rsidRPr="006645C9">
        <w:rPr>
          <w:rStyle w:val="Voetnoottekens"/>
          <w:rFonts w:asciiTheme="majorHAnsi" w:hAnsiTheme="majorHAnsi" w:cs="Arial"/>
          <w:sz w:val="24"/>
          <w:szCs w:val="24"/>
        </w:rPr>
        <w:footnoteReference w:id="11"/>
      </w:r>
      <w:r w:rsidRPr="006645C9">
        <w:rPr>
          <w:rFonts w:asciiTheme="majorHAnsi" w:hAnsiTheme="majorHAnsi" w:cs="Arial"/>
          <w:sz w:val="24"/>
          <w:szCs w:val="24"/>
        </w:rPr>
        <w:t xml:space="preserve"> Deze laatste methode wordt de laatste jaren als betrouwbare methode beschouwd om een leeftijd bij overlijden te bepalen en wordt vaak ter aanvulling op de complexe methode toegepast. Het darmbeen blijft vaak beter bewaard dan de lichaamsdelen die benodigd zijn voor de complexe methode. Bij een slechte conservering zijn de degeneratieve veranderingen in het darmbeen vaak de enige leeftijdsindicator. De concluderende leeftijdsrange aan de hand van de degeneratieve veranderingen in het darmbeen is kleiner dan de leeftijdsrange aan de hand van de complexe methode. De uitkomst van de twee verschillende methoden komen meestal overeen, maar de complexe methode wordt als meest betrouwbaar geacht.</w:t>
      </w:r>
    </w:p>
    <w:p w14:paraId="13CD9203"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Het stadium van de degeneratieve veranderingen in het darmbeen wordt bij elk individu genoteerd, maar zal alleen in de concluderende resultaten worden opgenomen indien de complexe methode geen resultaten oplevert.</w:t>
      </w:r>
    </w:p>
    <w:p w14:paraId="5067324A"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Bij de determinatie van de leeftijd bij overlijden moet rekening gehouden worden met het feit dat elk individu zich in een ander tempo </w:t>
      </w:r>
      <w:r w:rsidR="00A92322" w:rsidRPr="006645C9">
        <w:rPr>
          <w:rFonts w:asciiTheme="majorHAnsi" w:hAnsiTheme="majorHAnsi" w:cs="Arial"/>
          <w:sz w:val="24"/>
          <w:szCs w:val="24"/>
        </w:rPr>
        <w:t>ontwikkeld</w:t>
      </w:r>
      <w:r w:rsidRPr="006645C9">
        <w:rPr>
          <w:rFonts w:asciiTheme="majorHAnsi" w:hAnsiTheme="majorHAnsi" w:cs="Arial"/>
          <w:sz w:val="24"/>
          <w:szCs w:val="24"/>
        </w:rPr>
        <w:t xml:space="preserve"> en dat een leeftijdsbepaling dus altijd iets kan afwijken van de echte leeftijd.</w:t>
      </w:r>
    </w:p>
    <w:p w14:paraId="22011960" w14:textId="77777777" w:rsidR="00EC7448" w:rsidRPr="006645C9" w:rsidRDefault="00EC7448" w:rsidP="00EC7448">
      <w:pPr>
        <w:spacing w:after="0"/>
        <w:jc w:val="both"/>
        <w:rPr>
          <w:rFonts w:asciiTheme="majorHAnsi" w:hAnsiTheme="majorHAnsi" w:cs="Arial"/>
          <w:b/>
          <w:bCs/>
          <w:sz w:val="24"/>
          <w:szCs w:val="24"/>
        </w:rPr>
      </w:pPr>
      <w:r w:rsidRPr="006645C9">
        <w:rPr>
          <w:rFonts w:asciiTheme="majorHAnsi" w:hAnsiTheme="majorHAnsi"/>
          <w:sz w:val="24"/>
          <w:szCs w:val="24"/>
        </w:rPr>
        <w:t>De concluderende leeftijd bij overlijden per individu valt altijd binnen een leeftijdsrange.</w:t>
      </w:r>
      <w:r w:rsidRPr="006645C9">
        <w:rPr>
          <w:rStyle w:val="Voetnootmarkering"/>
          <w:rFonts w:asciiTheme="majorHAnsi" w:hAnsiTheme="majorHAnsi"/>
          <w:sz w:val="24"/>
          <w:szCs w:val="24"/>
        </w:rPr>
        <w:footnoteReference w:id="12"/>
      </w:r>
      <w:r w:rsidRPr="006645C9">
        <w:rPr>
          <w:rFonts w:asciiTheme="majorHAnsi" w:hAnsiTheme="majorHAnsi"/>
          <w:sz w:val="24"/>
          <w:szCs w:val="24"/>
        </w:rPr>
        <w:t xml:space="preserve"> Per individu wordt het gemiddelde van deze leeftijdsrange gebruikt om de totale gemiddelde leeftijd bij overlijden te bepalen. Bij een leeftijdsrange van bijvoorbeeld 20-40 jaar wordt een leeftijd van 30 jaar gebruikt om de gemiddelde leeftijd van de onderzochte populatie te berekenen. Bij een leeftijdsoverzicht per 10 jaar </w:t>
      </w:r>
      <w:r w:rsidRPr="006645C9">
        <w:rPr>
          <w:rFonts w:asciiTheme="majorHAnsi" w:hAnsiTheme="majorHAnsi"/>
          <w:sz w:val="24"/>
          <w:szCs w:val="24"/>
        </w:rPr>
        <w:lastRenderedPageBreak/>
        <w:t>zou een individu van 20-40 jaar oud dus worden ingedeeld in de categorie van 30-40 jaar.</w:t>
      </w:r>
    </w:p>
    <w:p w14:paraId="1F373F36" w14:textId="77777777" w:rsidR="00EC7448" w:rsidRPr="006645C9" w:rsidRDefault="00EC7448" w:rsidP="00EC7448">
      <w:pPr>
        <w:spacing w:after="0"/>
        <w:jc w:val="both"/>
        <w:rPr>
          <w:rFonts w:asciiTheme="majorHAnsi" w:hAnsiTheme="majorHAnsi" w:cs="Arial"/>
          <w:sz w:val="24"/>
          <w:szCs w:val="24"/>
        </w:rPr>
      </w:pPr>
    </w:p>
    <w:p w14:paraId="2580AB19" w14:textId="77777777" w:rsidR="00EC7448" w:rsidRPr="006645C9" w:rsidRDefault="00EC7448" w:rsidP="00EC7448">
      <w:pPr>
        <w:spacing w:after="0"/>
        <w:jc w:val="both"/>
        <w:rPr>
          <w:rFonts w:asciiTheme="majorHAnsi" w:hAnsiTheme="majorHAnsi" w:cs="Arial"/>
          <w:b/>
          <w:bCs/>
          <w:sz w:val="24"/>
          <w:szCs w:val="24"/>
        </w:rPr>
      </w:pPr>
      <w:r w:rsidRPr="006645C9">
        <w:rPr>
          <w:rFonts w:asciiTheme="majorHAnsi" w:hAnsiTheme="majorHAnsi" w:cs="Arial"/>
          <w:b/>
          <w:bCs/>
          <w:sz w:val="24"/>
          <w:szCs w:val="24"/>
        </w:rPr>
        <w:t>1.4 Lichaamslengte</w:t>
      </w:r>
    </w:p>
    <w:p w14:paraId="5430A590"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De lichaamslengte van een individu is deels erfelijk bepaald, maar ook afhankelijk van de leefomstandigheden.</w:t>
      </w:r>
      <w:r w:rsidRPr="006645C9">
        <w:rPr>
          <w:rStyle w:val="Voetnoottekens"/>
          <w:rFonts w:asciiTheme="majorHAnsi" w:hAnsiTheme="majorHAnsi" w:cs="Arial"/>
          <w:sz w:val="24"/>
          <w:szCs w:val="24"/>
        </w:rPr>
        <w:footnoteReference w:id="13"/>
      </w:r>
      <w:r w:rsidRPr="006645C9">
        <w:rPr>
          <w:rFonts w:asciiTheme="majorHAnsi" w:hAnsiTheme="majorHAnsi" w:cs="Arial"/>
          <w:sz w:val="24"/>
          <w:szCs w:val="24"/>
        </w:rPr>
        <w:t xml:space="preserve"> Hoe beter de leefomstandigheden, bijvoorbeeld een vitaminerijke voeding en lichte arbeid, hoe langer iemand kan worden. Daarom kan de lichaamslengte een bijdrage leveren aan de bepaling van de sociale status van de begraven individuen.</w:t>
      </w:r>
    </w:p>
    <w:p w14:paraId="694C6A17"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Er zijn twee methoden voor de berekening van de lichaamslengte van een individu. Bij beide methoden wordt de lengte van de lange beenderen gemeten. Deze lengte(s) worden verwerkt in een formule om zo tot een lichaamslengte te komen. De eerste methode voor de berekening van de lichaamslengte is de methode van </w:t>
      </w:r>
      <w:proofErr w:type="spellStart"/>
      <w:r w:rsidRPr="006645C9">
        <w:rPr>
          <w:rFonts w:asciiTheme="majorHAnsi" w:hAnsiTheme="majorHAnsi" w:cs="Arial"/>
          <w:sz w:val="24"/>
          <w:szCs w:val="24"/>
        </w:rPr>
        <w:t>Trotter</w:t>
      </w:r>
      <w:proofErr w:type="spellEnd"/>
      <w:r w:rsidRPr="006645C9">
        <w:rPr>
          <w:rFonts w:asciiTheme="majorHAnsi" w:hAnsiTheme="majorHAnsi" w:cs="Arial"/>
          <w:sz w:val="24"/>
          <w:szCs w:val="24"/>
        </w:rPr>
        <w:t xml:space="preserve"> (en </w:t>
      </w:r>
      <w:proofErr w:type="spellStart"/>
      <w:r w:rsidRPr="006645C9">
        <w:rPr>
          <w:rFonts w:asciiTheme="majorHAnsi" w:hAnsiTheme="majorHAnsi" w:cs="Arial"/>
          <w:sz w:val="24"/>
          <w:szCs w:val="24"/>
        </w:rPr>
        <w:t>Gleser</w:t>
      </w:r>
      <w:proofErr w:type="spellEnd"/>
      <w:r w:rsidRPr="006645C9">
        <w:rPr>
          <w:rFonts w:asciiTheme="majorHAnsi" w:hAnsiTheme="majorHAnsi" w:cs="Arial"/>
          <w:sz w:val="24"/>
          <w:szCs w:val="24"/>
        </w:rPr>
        <w:t>).</w:t>
      </w:r>
      <w:r w:rsidRPr="006645C9">
        <w:rPr>
          <w:rStyle w:val="Voetnoottekens"/>
          <w:rFonts w:asciiTheme="majorHAnsi" w:hAnsiTheme="majorHAnsi" w:cs="Arial"/>
          <w:sz w:val="24"/>
          <w:szCs w:val="24"/>
        </w:rPr>
        <w:footnoteReference w:id="14"/>
      </w:r>
      <w:r w:rsidRPr="006645C9">
        <w:rPr>
          <w:rFonts w:asciiTheme="majorHAnsi" w:hAnsiTheme="majorHAnsi" w:cs="Arial"/>
          <w:sz w:val="24"/>
          <w:szCs w:val="24"/>
        </w:rPr>
        <w:t xml:space="preserve"> Deze methode is bruikbaar voor de berekening van de lichaamslengte van zowel mannen als vrouwen en kent een correctie factor voor de leeftijd bij overlijden van een individu. De tweede methode voor de berekening van de lichaamslengte is de methode van </w:t>
      </w:r>
      <w:proofErr w:type="spellStart"/>
      <w:r w:rsidRPr="006645C9">
        <w:rPr>
          <w:rFonts w:asciiTheme="majorHAnsi" w:hAnsiTheme="majorHAnsi" w:cs="Arial"/>
          <w:sz w:val="24"/>
          <w:szCs w:val="24"/>
        </w:rPr>
        <w:t>Breitinger</w:t>
      </w:r>
      <w:proofErr w:type="spellEnd"/>
      <w:r w:rsidRPr="006645C9">
        <w:rPr>
          <w:rFonts w:asciiTheme="majorHAnsi" w:hAnsiTheme="majorHAnsi" w:cs="Arial"/>
          <w:sz w:val="24"/>
          <w:szCs w:val="24"/>
        </w:rPr>
        <w:t>.</w:t>
      </w:r>
      <w:r w:rsidRPr="006645C9">
        <w:rPr>
          <w:rStyle w:val="Voetnoottekens"/>
          <w:rFonts w:asciiTheme="majorHAnsi" w:hAnsiTheme="majorHAnsi" w:cs="Arial"/>
          <w:sz w:val="24"/>
          <w:szCs w:val="24"/>
        </w:rPr>
        <w:footnoteReference w:id="15"/>
      </w:r>
      <w:r w:rsidRPr="006645C9">
        <w:rPr>
          <w:rFonts w:asciiTheme="majorHAnsi" w:hAnsiTheme="majorHAnsi" w:cs="Arial"/>
          <w:sz w:val="24"/>
          <w:szCs w:val="24"/>
        </w:rPr>
        <w:t xml:space="preserve"> Deze methode is alleen te gebruiken voor mannen en vergt deels andere maten van de lange beenderen dan de methode van </w:t>
      </w:r>
      <w:proofErr w:type="spellStart"/>
      <w:r w:rsidRPr="006645C9">
        <w:rPr>
          <w:rFonts w:asciiTheme="majorHAnsi" w:hAnsiTheme="majorHAnsi" w:cs="Arial"/>
          <w:sz w:val="24"/>
          <w:szCs w:val="24"/>
        </w:rPr>
        <w:t>Trotter</w:t>
      </w:r>
      <w:proofErr w:type="spellEnd"/>
      <w:r w:rsidRPr="006645C9">
        <w:rPr>
          <w:rFonts w:asciiTheme="majorHAnsi" w:hAnsiTheme="majorHAnsi" w:cs="Arial"/>
          <w:sz w:val="24"/>
          <w:szCs w:val="24"/>
        </w:rPr>
        <w:t xml:space="preserve"> (en </w:t>
      </w:r>
      <w:proofErr w:type="spellStart"/>
      <w:r w:rsidRPr="006645C9">
        <w:rPr>
          <w:rFonts w:asciiTheme="majorHAnsi" w:hAnsiTheme="majorHAnsi" w:cs="Arial"/>
          <w:sz w:val="24"/>
          <w:szCs w:val="24"/>
        </w:rPr>
        <w:t>Gleser</w:t>
      </w:r>
      <w:proofErr w:type="spellEnd"/>
      <w:r w:rsidRPr="006645C9">
        <w:rPr>
          <w:rFonts w:asciiTheme="majorHAnsi" w:hAnsiTheme="majorHAnsi" w:cs="Arial"/>
          <w:sz w:val="24"/>
          <w:szCs w:val="24"/>
        </w:rPr>
        <w:t>).</w:t>
      </w:r>
      <w:r w:rsidRPr="006645C9">
        <w:rPr>
          <w:rStyle w:val="Voetnoottekens"/>
          <w:rFonts w:asciiTheme="majorHAnsi" w:hAnsiTheme="majorHAnsi" w:cs="Arial"/>
          <w:sz w:val="24"/>
          <w:szCs w:val="24"/>
        </w:rPr>
        <w:footnoteReference w:id="16"/>
      </w:r>
      <w:r w:rsidRPr="006645C9">
        <w:rPr>
          <w:rFonts w:asciiTheme="majorHAnsi" w:hAnsiTheme="majorHAnsi" w:cs="Arial"/>
          <w:sz w:val="24"/>
          <w:szCs w:val="24"/>
        </w:rPr>
        <w:t xml:space="preserve"> </w:t>
      </w:r>
    </w:p>
    <w:p w14:paraId="338ED9F6" w14:textId="77777777" w:rsidR="00EC7448" w:rsidRPr="006645C9" w:rsidRDefault="00EC7448" w:rsidP="00EC7448">
      <w:pPr>
        <w:spacing w:after="0"/>
        <w:jc w:val="both"/>
        <w:rPr>
          <w:rFonts w:asciiTheme="majorHAnsi" w:hAnsiTheme="majorHAnsi"/>
          <w:sz w:val="24"/>
          <w:szCs w:val="24"/>
        </w:rPr>
      </w:pPr>
    </w:p>
    <w:p w14:paraId="0A4C7189" w14:textId="77777777" w:rsidR="00EC7448" w:rsidRPr="006645C9" w:rsidRDefault="00EC7448" w:rsidP="00EC7448">
      <w:pPr>
        <w:spacing w:after="0"/>
        <w:jc w:val="both"/>
        <w:rPr>
          <w:rFonts w:asciiTheme="majorHAnsi" w:hAnsiTheme="majorHAnsi" w:cs="Arial"/>
          <w:b/>
          <w:bCs/>
          <w:sz w:val="24"/>
          <w:szCs w:val="24"/>
        </w:rPr>
      </w:pPr>
      <w:r w:rsidRPr="006645C9">
        <w:rPr>
          <w:rFonts w:asciiTheme="majorHAnsi" w:hAnsiTheme="majorHAnsi" w:cs="Arial"/>
          <w:b/>
          <w:bCs/>
          <w:sz w:val="24"/>
          <w:szCs w:val="24"/>
        </w:rPr>
        <w:t>1.5 Ziekteverschijnselen</w:t>
      </w:r>
    </w:p>
    <w:p w14:paraId="31AC4CF8"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Botveranderingen die kunnen duiden op ziekteverschijnselen zijn misschien wel de meest belangrijke factoren voor het bepalen van de sociale positie van een bevolkingsgroep. Er zijn verschillende categorieën ziekteverschijnselen: traumata, infectieziekten, deficiëntieziekten, degeneratieve gewrichtsaandoeningen, overige ziekteverschijnselen en anomalieën.</w:t>
      </w:r>
    </w:p>
    <w:p w14:paraId="3A118269"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Elke soort ziekteverschijnselen zegt iets over de gezondheid en daarmee de sociale positie van de bevolkingsgroep.</w:t>
      </w:r>
    </w:p>
    <w:p w14:paraId="4CC4D873" w14:textId="77777777" w:rsidR="00EC7448" w:rsidRPr="006645C9" w:rsidRDefault="00EC7448" w:rsidP="00EC7448">
      <w:pPr>
        <w:spacing w:after="0"/>
        <w:jc w:val="both"/>
        <w:rPr>
          <w:rFonts w:asciiTheme="majorHAnsi" w:hAnsiTheme="majorHAnsi" w:cs="Arial"/>
          <w:sz w:val="24"/>
          <w:szCs w:val="24"/>
        </w:rPr>
      </w:pPr>
    </w:p>
    <w:p w14:paraId="36B0999B" w14:textId="77777777" w:rsidR="00EC7448" w:rsidRPr="006645C9" w:rsidRDefault="00EC7448" w:rsidP="00EC7448">
      <w:pPr>
        <w:spacing w:after="0"/>
        <w:jc w:val="both"/>
        <w:rPr>
          <w:rFonts w:asciiTheme="majorHAnsi" w:hAnsiTheme="majorHAnsi" w:cs="Arial"/>
          <w:bCs/>
          <w:i/>
          <w:sz w:val="24"/>
          <w:szCs w:val="24"/>
        </w:rPr>
      </w:pPr>
      <w:r w:rsidRPr="006645C9">
        <w:rPr>
          <w:rFonts w:asciiTheme="majorHAnsi" w:hAnsiTheme="majorHAnsi" w:cs="Arial"/>
          <w:bCs/>
          <w:i/>
          <w:sz w:val="24"/>
          <w:szCs w:val="24"/>
        </w:rPr>
        <w:t>Trauma</w:t>
      </w:r>
    </w:p>
    <w:p w14:paraId="3001A361"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Onder trauma worden over het algemeen botbreuken verstaan, maar ook andere vervormingen aan het bot welke het gevolg zijn van knelling of een harde klap. In de meeste gevallen worden geheelde botbreuken teruggevonden, maar het is ook mogelijk dat een individu is overleden als gevolg van de breuk, in welk geval de breuk een scherpe rand heeft. Als een botbreuk gezet en gespalkt wordt kan deze zo mooi helen dat er weinig van de oorspronkelijke breuk te zien is. Ongezette of </w:t>
      </w:r>
      <w:proofErr w:type="spellStart"/>
      <w:r w:rsidRPr="006645C9">
        <w:rPr>
          <w:rFonts w:asciiTheme="majorHAnsi" w:hAnsiTheme="majorHAnsi" w:cs="Arial"/>
          <w:sz w:val="24"/>
          <w:szCs w:val="24"/>
        </w:rPr>
        <w:t>ongespalkte</w:t>
      </w:r>
      <w:proofErr w:type="spellEnd"/>
      <w:r w:rsidRPr="006645C9">
        <w:rPr>
          <w:rFonts w:asciiTheme="majorHAnsi" w:hAnsiTheme="majorHAnsi" w:cs="Arial"/>
          <w:sz w:val="24"/>
          <w:szCs w:val="24"/>
        </w:rPr>
        <w:t xml:space="preserve"> breuken kunnen scheef groeien en zijn vaak een stuk beter te herkennen.</w:t>
      </w:r>
      <w:r w:rsidRPr="006645C9">
        <w:rPr>
          <w:rStyle w:val="Voetnoottekens"/>
          <w:rFonts w:asciiTheme="majorHAnsi" w:hAnsiTheme="majorHAnsi" w:cs="Arial"/>
          <w:sz w:val="24"/>
          <w:szCs w:val="24"/>
        </w:rPr>
        <w:footnoteReference w:id="17"/>
      </w:r>
      <w:r w:rsidRPr="006645C9">
        <w:rPr>
          <w:rFonts w:asciiTheme="majorHAnsi" w:hAnsiTheme="majorHAnsi" w:cs="Arial"/>
          <w:sz w:val="24"/>
          <w:szCs w:val="24"/>
        </w:rPr>
        <w:t xml:space="preserve"> </w:t>
      </w:r>
    </w:p>
    <w:p w14:paraId="49E5926F" w14:textId="77777777" w:rsidR="00EC7448" w:rsidRPr="006645C9" w:rsidRDefault="00EC7448" w:rsidP="00EC7448">
      <w:pPr>
        <w:spacing w:after="0"/>
        <w:jc w:val="both"/>
        <w:rPr>
          <w:rFonts w:asciiTheme="majorHAnsi" w:hAnsiTheme="majorHAnsi" w:cs="Arial"/>
          <w:sz w:val="24"/>
          <w:szCs w:val="24"/>
        </w:rPr>
      </w:pPr>
    </w:p>
    <w:p w14:paraId="072F9022" w14:textId="77777777" w:rsidR="00EC7448" w:rsidRPr="006645C9" w:rsidRDefault="00EC7448" w:rsidP="00EC7448">
      <w:pPr>
        <w:spacing w:after="0"/>
        <w:jc w:val="both"/>
        <w:rPr>
          <w:rFonts w:asciiTheme="majorHAnsi" w:hAnsiTheme="majorHAnsi" w:cs="Arial"/>
          <w:bCs/>
          <w:i/>
          <w:sz w:val="24"/>
          <w:szCs w:val="24"/>
        </w:rPr>
      </w:pPr>
      <w:r w:rsidRPr="006645C9">
        <w:rPr>
          <w:rFonts w:asciiTheme="majorHAnsi" w:hAnsiTheme="majorHAnsi" w:cs="Arial"/>
          <w:bCs/>
          <w:i/>
          <w:sz w:val="24"/>
          <w:szCs w:val="24"/>
        </w:rPr>
        <w:t>Infectieziekten</w:t>
      </w:r>
    </w:p>
    <w:p w14:paraId="46B919BB"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lastRenderedPageBreak/>
        <w:t>Infectieziekten kunnen het lichaam binnentreden via lichamelijk contact, via voedsel of door inhalatie.</w:t>
      </w:r>
      <w:r w:rsidRPr="006645C9">
        <w:rPr>
          <w:rStyle w:val="Voetnoottekens"/>
          <w:rFonts w:asciiTheme="majorHAnsi" w:hAnsiTheme="majorHAnsi" w:cs="Arial"/>
          <w:sz w:val="24"/>
          <w:szCs w:val="24"/>
        </w:rPr>
        <w:footnoteReference w:id="18"/>
      </w:r>
      <w:r w:rsidRPr="006645C9">
        <w:rPr>
          <w:rFonts w:asciiTheme="majorHAnsi" w:hAnsiTheme="majorHAnsi" w:cs="Arial"/>
          <w:sz w:val="24"/>
          <w:szCs w:val="24"/>
        </w:rPr>
        <w:t xml:space="preserve"> De meeste infectieziekten blijven in het zachte weefsel van het lichaam en blijven daardoor archeologisch onzichtbaar. In veel gevallen is het individu overleden voordat de infectieziekte zich in het skelet manifesteert. Enkele infectieziekten manifesteren zich wel al in een vroeg stadium in het skelet.</w:t>
      </w:r>
      <w:r w:rsidRPr="006645C9">
        <w:rPr>
          <w:rStyle w:val="Voetnoottekens"/>
          <w:rFonts w:asciiTheme="majorHAnsi" w:hAnsiTheme="majorHAnsi" w:cs="Arial"/>
          <w:sz w:val="24"/>
          <w:szCs w:val="24"/>
        </w:rPr>
        <w:footnoteReference w:id="19"/>
      </w:r>
    </w:p>
    <w:p w14:paraId="461CE94F" w14:textId="77777777" w:rsidR="00EC7448" w:rsidRPr="006645C9" w:rsidRDefault="00EC7448" w:rsidP="00EC7448">
      <w:pPr>
        <w:spacing w:after="0"/>
        <w:jc w:val="both"/>
        <w:rPr>
          <w:rFonts w:asciiTheme="majorHAnsi" w:hAnsiTheme="majorHAnsi" w:cs="Arial"/>
          <w:sz w:val="24"/>
          <w:szCs w:val="24"/>
        </w:rPr>
      </w:pPr>
    </w:p>
    <w:p w14:paraId="5E2F5563" w14:textId="77777777" w:rsidR="00EC7448" w:rsidRPr="006645C9" w:rsidRDefault="00EC7448" w:rsidP="00EC7448">
      <w:pPr>
        <w:spacing w:after="0"/>
        <w:jc w:val="both"/>
        <w:rPr>
          <w:rFonts w:asciiTheme="majorHAnsi" w:hAnsiTheme="majorHAnsi" w:cs="Arial"/>
          <w:bCs/>
          <w:i/>
          <w:sz w:val="24"/>
          <w:szCs w:val="24"/>
        </w:rPr>
      </w:pPr>
      <w:r w:rsidRPr="006645C9">
        <w:rPr>
          <w:rFonts w:asciiTheme="majorHAnsi" w:hAnsiTheme="majorHAnsi" w:cs="Arial"/>
          <w:bCs/>
          <w:i/>
          <w:sz w:val="24"/>
          <w:szCs w:val="24"/>
        </w:rPr>
        <w:t>Deficiëntieziekten</w:t>
      </w:r>
    </w:p>
    <w:p w14:paraId="58EBA110"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Deficiëntieziekten zijn ziekten als gevolg van een tekort aan voedingsmiddelen of andere belangrijke bestanddelen die men nodig heeft om normaal te kunnen leven. De aan- of afwezigheid van deficiëntieziekten is daarom een zeer geschikte factor om uitspraak te kunnen doen over de sociale positie van een bevolkingsgroep.</w:t>
      </w:r>
      <w:r w:rsidRPr="006645C9">
        <w:rPr>
          <w:rStyle w:val="Voetnoottekens"/>
          <w:rFonts w:asciiTheme="majorHAnsi" w:hAnsiTheme="majorHAnsi" w:cs="Arial"/>
          <w:sz w:val="24"/>
          <w:szCs w:val="24"/>
        </w:rPr>
        <w:footnoteReference w:id="20"/>
      </w:r>
      <w:r w:rsidRPr="006645C9">
        <w:rPr>
          <w:rFonts w:asciiTheme="majorHAnsi" w:hAnsiTheme="majorHAnsi" w:cs="Arial"/>
          <w:sz w:val="24"/>
          <w:szCs w:val="24"/>
        </w:rPr>
        <w:t xml:space="preserve"> </w:t>
      </w:r>
    </w:p>
    <w:p w14:paraId="628EC471" w14:textId="77777777" w:rsidR="00EC7448" w:rsidRPr="006645C9" w:rsidRDefault="00EC7448" w:rsidP="00EC7448">
      <w:pPr>
        <w:spacing w:after="0"/>
        <w:jc w:val="both"/>
        <w:rPr>
          <w:rFonts w:asciiTheme="majorHAnsi" w:hAnsiTheme="majorHAnsi" w:cs="Arial"/>
          <w:sz w:val="24"/>
          <w:szCs w:val="24"/>
        </w:rPr>
      </w:pPr>
    </w:p>
    <w:p w14:paraId="1A1316E4" w14:textId="77777777" w:rsidR="00EC7448" w:rsidRPr="006645C9" w:rsidRDefault="00EC7448" w:rsidP="00EC7448">
      <w:pPr>
        <w:spacing w:after="0"/>
        <w:jc w:val="both"/>
        <w:rPr>
          <w:rFonts w:asciiTheme="majorHAnsi" w:hAnsiTheme="majorHAnsi" w:cs="Arial"/>
          <w:bCs/>
          <w:i/>
          <w:sz w:val="24"/>
          <w:szCs w:val="24"/>
        </w:rPr>
      </w:pPr>
      <w:r w:rsidRPr="006645C9">
        <w:rPr>
          <w:rFonts w:asciiTheme="majorHAnsi" w:hAnsiTheme="majorHAnsi" w:cs="Arial"/>
          <w:bCs/>
          <w:i/>
          <w:sz w:val="24"/>
          <w:szCs w:val="24"/>
        </w:rPr>
        <w:t>Degeneratieve gewrichtsaandoeningen</w:t>
      </w:r>
    </w:p>
    <w:p w14:paraId="6961FB9F"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Er zijn drie soorten degeneratieve gewrichtsaandoeningen: </w:t>
      </w:r>
      <w:r w:rsidRPr="006645C9">
        <w:rPr>
          <w:rFonts w:asciiTheme="majorHAnsi" w:hAnsiTheme="majorHAnsi" w:cs="Arial"/>
          <w:i/>
          <w:sz w:val="24"/>
          <w:szCs w:val="24"/>
        </w:rPr>
        <w:t xml:space="preserve">perifere </w:t>
      </w:r>
      <w:proofErr w:type="spellStart"/>
      <w:r w:rsidRPr="006645C9">
        <w:rPr>
          <w:rFonts w:asciiTheme="majorHAnsi" w:hAnsiTheme="majorHAnsi" w:cs="Arial"/>
          <w:i/>
          <w:sz w:val="24"/>
          <w:szCs w:val="24"/>
        </w:rPr>
        <w:t>osteoartrose</w:t>
      </w:r>
      <w:proofErr w:type="spellEnd"/>
      <w:r w:rsidRPr="006645C9">
        <w:rPr>
          <w:rFonts w:asciiTheme="majorHAnsi" w:hAnsiTheme="majorHAnsi" w:cs="Arial"/>
          <w:sz w:val="24"/>
          <w:szCs w:val="24"/>
        </w:rPr>
        <w:t xml:space="preserve"> of POA (artrose in alle gewrichten behalve in de wervelkolom), </w:t>
      </w:r>
      <w:r w:rsidRPr="006645C9">
        <w:rPr>
          <w:rFonts w:asciiTheme="majorHAnsi" w:hAnsiTheme="majorHAnsi" w:cs="Arial"/>
          <w:i/>
          <w:sz w:val="24"/>
          <w:szCs w:val="24"/>
        </w:rPr>
        <w:t xml:space="preserve">vertebrale </w:t>
      </w:r>
      <w:proofErr w:type="spellStart"/>
      <w:r w:rsidRPr="006645C9">
        <w:rPr>
          <w:rFonts w:asciiTheme="majorHAnsi" w:hAnsiTheme="majorHAnsi" w:cs="Arial"/>
          <w:i/>
          <w:sz w:val="24"/>
          <w:szCs w:val="24"/>
        </w:rPr>
        <w:t>osteoartrose</w:t>
      </w:r>
      <w:proofErr w:type="spellEnd"/>
      <w:r w:rsidRPr="006645C9">
        <w:rPr>
          <w:rFonts w:asciiTheme="majorHAnsi" w:hAnsiTheme="majorHAnsi" w:cs="Arial"/>
          <w:sz w:val="24"/>
          <w:szCs w:val="24"/>
        </w:rPr>
        <w:t xml:space="preserve"> of VOA (artrose in de onderlinge articulatievlakken van de wervelkolom) en de </w:t>
      </w:r>
      <w:proofErr w:type="spellStart"/>
      <w:r w:rsidRPr="006645C9">
        <w:rPr>
          <w:rFonts w:asciiTheme="majorHAnsi" w:hAnsiTheme="majorHAnsi" w:cs="Arial"/>
          <w:i/>
          <w:sz w:val="24"/>
          <w:szCs w:val="24"/>
        </w:rPr>
        <w:t>degenerative</w:t>
      </w:r>
      <w:proofErr w:type="spellEnd"/>
      <w:r w:rsidRPr="006645C9">
        <w:rPr>
          <w:rFonts w:asciiTheme="majorHAnsi" w:hAnsiTheme="majorHAnsi" w:cs="Arial"/>
          <w:i/>
          <w:sz w:val="24"/>
          <w:szCs w:val="24"/>
        </w:rPr>
        <w:t xml:space="preserve"> disc </w:t>
      </w:r>
      <w:proofErr w:type="spellStart"/>
      <w:r w:rsidRPr="006645C9">
        <w:rPr>
          <w:rFonts w:asciiTheme="majorHAnsi" w:hAnsiTheme="majorHAnsi" w:cs="Arial"/>
          <w:i/>
          <w:sz w:val="24"/>
          <w:szCs w:val="24"/>
        </w:rPr>
        <w:t>disease</w:t>
      </w:r>
      <w:proofErr w:type="spellEnd"/>
      <w:r w:rsidRPr="006645C9">
        <w:rPr>
          <w:rFonts w:asciiTheme="majorHAnsi" w:hAnsiTheme="majorHAnsi" w:cs="Arial"/>
          <w:sz w:val="24"/>
          <w:szCs w:val="24"/>
        </w:rPr>
        <w:t xml:space="preserve"> of DDD (slijtage en botreactie in de tussenwervelschijven)</w:t>
      </w:r>
      <w:r w:rsidRPr="006645C9">
        <w:rPr>
          <w:rStyle w:val="Voetnoottekens"/>
          <w:rFonts w:asciiTheme="majorHAnsi" w:hAnsiTheme="majorHAnsi" w:cs="Arial"/>
          <w:sz w:val="24"/>
          <w:szCs w:val="24"/>
        </w:rPr>
        <w:footnoteReference w:id="21"/>
      </w:r>
      <w:r w:rsidRPr="006645C9">
        <w:rPr>
          <w:rFonts w:asciiTheme="majorHAnsi" w:hAnsiTheme="majorHAnsi" w:cs="Arial"/>
          <w:sz w:val="24"/>
          <w:szCs w:val="24"/>
        </w:rPr>
        <w:t>.</w:t>
      </w:r>
    </w:p>
    <w:p w14:paraId="6EFEF7F2"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Alle drie de gewrichtsaandoeningen zijn deels gerelateerd aan leeftijd: gewrichten slijten als gevolg van het gebruik van de gewrichten. De intensiteit van het gebruik van de gewrichten en de belasting van de gewrichten bepaald hoe snel de gewrichtsslijtage optreedt. Over het algemeen treedt bij iedereen boven de 40 jaar gewrichtsslijtage op.</w:t>
      </w:r>
      <w:r w:rsidRPr="006645C9">
        <w:rPr>
          <w:rStyle w:val="Voetnoottekens"/>
          <w:rFonts w:asciiTheme="majorHAnsi" w:hAnsiTheme="majorHAnsi" w:cs="Arial"/>
          <w:sz w:val="24"/>
          <w:szCs w:val="24"/>
        </w:rPr>
        <w:footnoteReference w:id="22"/>
      </w:r>
    </w:p>
    <w:p w14:paraId="467B026A" w14:textId="77777777" w:rsidR="00EC7448" w:rsidRPr="006645C9" w:rsidRDefault="00EC7448" w:rsidP="00EC7448">
      <w:pPr>
        <w:spacing w:after="0"/>
        <w:jc w:val="both"/>
        <w:rPr>
          <w:rFonts w:asciiTheme="majorHAnsi" w:hAnsiTheme="majorHAnsi" w:cs="Arial"/>
          <w:sz w:val="24"/>
          <w:szCs w:val="24"/>
        </w:rPr>
      </w:pPr>
    </w:p>
    <w:p w14:paraId="78186DF4" w14:textId="77777777" w:rsidR="00EC7448" w:rsidRPr="006645C9" w:rsidRDefault="00EC7448" w:rsidP="00EC7448">
      <w:pPr>
        <w:spacing w:after="0"/>
        <w:jc w:val="both"/>
        <w:rPr>
          <w:rFonts w:asciiTheme="majorHAnsi" w:hAnsiTheme="majorHAnsi" w:cs="Arial"/>
          <w:bCs/>
          <w:i/>
          <w:sz w:val="24"/>
          <w:szCs w:val="24"/>
        </w:rPr>
      </w:pPr>
      <w:r w:rsidRPr="006645C9">
        <w:rPr>
          <w:rFonts w:asciiTheme="majorHAnsi" w:hAnsiTheme="majorHAnsi" w:cs="Arial"/>
          <w:bCs/>
          <w:i/>
          <w:sz w:val="24"/>
          <w:szCs w:val="24"/>
        </w:rPr>
        <w:t>Overige ziekteverschijnselen</w:t>
      </w:r>
    </w:p>
    <w:p w14:paraId="5C3F147D"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Overige ziekteverschijnselen zijn ziekten die niet aan één van de andere ziektecategorieën zijn toe te schrijven, doordat er geen duidelijke oorzaak van de ziekte is, of omdat de oorzaak van de ziekte verschilt van de ziekten uit de andere categorieën. </w:t>
      </w:r>
    </w:p>
    <w:p w14:paraId="7B01DA25" w14:textId="77777777" w:rsidR="00EC7448" w:rsidRPr="006645C9" w:rsidRDefault="00EC7448" w:rsidP="00EC7448">
      <w:pPr>
        <w:spacing w:after="0"/>
        <w:jc w:val="both"/>
        <w:rPr>
          <w:rFonts w:asciiTheme="majorHAnsi" w:hAnsiTheme="majorHAnsi" w:cs="Arial"/>
          <w:sz w:val="24"/>
          <w:szCs w:val="24"/>
        </w:rPr>
      </w:pPr>
    </w:p>
    <w:p w14:paraId="111ABC60" w14:textId="77777777" w:rsidR="00EC7448" w:rsidRPr="006645C9" w:rsidRDefault="00EC7448" w:rsidP="00EC7448">
      <w:pPr>
        <w:spacing w:after="0"/>
        <w:jc w:val="both"/>
        <w:rPr>
          <w:rFonts w:asciiTheme="majorHAnsi" w:hAnsiTheme="majorHAnsi" w:cs="Arial"/>
          <w:bCs/>
          <w:i/>
          <w:sz w:val="24"/>
          <w:szCs w:val="24"/>
        </w:rPr>
      </w:pPr>
      <w:r w:rsidRPr="006645C9">
        <w:rPr>
          <w:rFonts w:asciiTheme="majorHAnsi" w:hAnsiTheme="majorHAnsi" w:cs="Arial"/>
          <w:bCs/>
          <w:i/>
          <w:sz w:val="24"/>
          <w:szCs w:val="24"/>
        </w:rPr>
        <w:t>Anomalieën</w:t>
      </w:r>
    </w:p>
    <w:p w14:paraId="49B956F6"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Anomalieën zijn (meestal aangeboren) afwijkingen waar een individu over het algemeen geen last van heeft. Sommige van deze anomalieën zijn overerfbaar.</w:t>
      </w:r>
      <w:r w:rsidRPr="006645C9">
        <w:rPr>
          <w:rStyle w:val="Voetnoottekens"/>
          <w:rFonts w:asciiTheme="majorHAnsi" w:hAnsiTheme="majorHAnsi" w:cs="Arial"/>
          <w:sz w:val="24"/>
          <w:szCs w:val="24"/>
        </w:rPr>
        <w:footnoteReference w:id="23"/>
      </w:r>
    </w:p>
    <w:p w14:paraId="6649FC06" w14:textId="77777777" w:rsidR="00EC7448" w:rsidRPr="006645C9" w:rsidRDefault="00EC7448" w:rsidP="00EC7448">
      <w:pPr>
        <w:spacing w:after="0"/>
        <w:jc w:val="both"/>
        <w:rPr>
          <w:rFonts w:asciiTheme="majorHAnsi" w:hAnsiTheme="majorHAnsi" w:cs="Arial"/>
          <w:b/>
          <w:bCs/>
          <w:sz w:val="24"/>
          <w:szCs w:val="24"/>
        </w:rPr>
      </w:pPr>
    </w:p>
    <w:p w14:paraId="3F565828" w14:textId="77777777" w:rsidR="00EC7448" w:rsidRPr="006645C9" w:rsidRDefault="00EC7448" w:rsidP="00EC7448">
      <w:pPr>
        <w:spacing w:after="0"/>
        <w:jc w:val="both"/>
        <w:rPr>
          <w:rFonts w:asciiTheme="majorHAnsi" w:hAnsiTheme="majorHAnsi" w:cs="Arial"/>
          <w:b/>
          <w:bCs/>
          <w:sz w:val="24"/>
          <w:szCs w:val="24"/>
        </w:rPr>
      </w:pPr>
      <w:r w:rsidRPr="006645C9">
        <w:rPr>
          <w:rFonts w:asciiTheme="majorHAnsi" w:hAnsiTheme="majorHAnsi" w:cs="Arial"/>
          <w:b/>
          <w:bCs/>
          <w:sz w:val="24"/>
          <w:szCs w:val="24"/>
        </w:rPr>
        <w:t>1.6 Gebitsstatus</w:t>
      </w:r>
    </w:p>
    <w:p w14:paraId="6E80D889"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 xml:space="preserve">De aan- of afwezigheid van gebitselementen kan iets zeggen over de gezondheid van het gebit. Bij elk individu komen normaal 32 gebitselementen door (bij het ontbreken van de verstandskiezen 28). Door onder andere een slecht onderhoud van het gebit kunnen gebitselementen uitvallen. </w:t>
      </w:r>
    </w:p>
    <w:p w14:paraId="5FFFF016"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lastRenderedPageBreak/>
        <w:t>Ook gebitsaandoeningen zijn belangrijke indicatoren voor de gezondheid van het gebit en mogelijk ook voor de sociale status van het individu. Onder gebitsaandoeningen worden gaatjes (cariës), abcessen, wortelpunt ontstekingen (</w:t>
      </w:r>
      <w:proofErr w:type="spellStart"/>
      <w:r w:rsidRPr="006645C9">
        <w:rPr>
          <w:rFonts w:asciiTheme="majorHAnsi" w:hAnsiTheme="majorHAnsi" w:cs="Arial"/>
          <w:sz w:val="24"/>
          <w:szCs w:val="24"/>
        </w:rPr>
        <w:t>fistula’s</w:t>
      </w:r>
      <w:proofErr w:type="spellEnd"/>
      <w:r w:rsidRPr="006645C9">
        <w:rPr>
          <w:rFonts w:asciiTheme="majorHAnsi" w:hAnsiTheme="majorHAnsi" w:cs="Arial"/>
          <w:sz w:val="24"/>
          <w:szCs w:val="24"/>
        </w:rPr>
        <w:t xml:space="preserve">), </w:t>
      </w:r>
      <w:proofErr w:type="spellStart"/>
      <w:r w:rsidRPr="006645C9">
        <w:rPr>
          <w:rFonts w:asciiTheme="majorHAnsi" w:hAnsiTheme="majorHAnsi" w:cs="Arial"/>
          <w:sz w:val="24"/>
          <w:szCs w:val="24"/>
        </w:rPr>
        <w:t>emailhypoplasiën</w:t>
      </w:r>
      <w:proofErr w:type="spellEnd"/>
      <w:r w:rsidRPr="006645C9">
        <w:rPr>
          <w:rFonts w:asciiTheme="majorHAnsi" w:hAnsiTheme="majorHAnsi" w:cs="Arial"/>
          <w:sz w:val="24"/>
          <w:szCs w:val="24"/>
        </w:rPr>
        <w:t xml:space="preserve"> (ribbels in het tandemail als gevolg van een tijdelijke stop in de ontwikkeling van de tanden door een tekort aan voedingsstoffen) en pijprokersgaten gerekend. </w:t>
      </w:r>
    </w:p>
    <w:p w14:paraId="78AA609E" w14:textId="77777777" w:rsidR="00EC7448" w:rsidRPr="006645C9" w:rsidRDefault="00EC7448" w:rsidP="00EC7448">
      <w:pPr>
        <w:spacing w:after="0"/>
        <w:jc w:val="both"/>
        <w:rPr>
          <w:rFonts w:asciiTheme="majorHAnsi" w:hAnsiTheme="majorHAnsi" w:cs="Arial"/>
          <w:sz w:val="24"/>
          <w:szCs w:val="24"/>
        </w:rPr>
      </w:pPr>
    </w:p>
    <w:p w14:paraId="3B498B6E" w14:textId="77777777" w:rsidR="00EC7448" w:rsidRPr="006645C9" w:rsidRDefault="00EC7448" w:rsidP="00EC7448">
      <w:pPr>
        <w:spacing w:after="0"/>
        <w:jc w:val="both"/>
        <w:rPr>
          <w:rFonts w:asciiTheme="majorHAnsi" w:hAnsiTheme="majorHAnsi" w:cs="Arial"/>
          <w:b/>
          <w:sz w:val="24"/>
          <w:szCs w:val="24"/>
        </w:rPr>
      </w:pPr>
      <w:r w:rsidRPr="006645C9">
        <w:rPr>
          <w:rFonts w:asciiTheme="majorHAnsi" w:hAnsiTheme="majorHAnsi" w:cs="Arial"/>
          <w:b/>
          <w:sz w:val="24"/>
          <w:szCs w:val="24"/>
        </w:rPr>
        <w:t>1.7 Schedelvorm</w:t>
      </w:r>
    </w:p>
    <w:p w14:paraId="0F76C285" w14:textId="77777777" w:rsidR="00EC7448" w:rsidRPr="006645C9" w:rsidRDefault="00EC7448" w:rsidP="00EC7448">
      <w:pPr>
        <w:spacing w:after="0"/>
        <w:jc w:val="both"/>
        <w:rPr>
          <w:rFonts w:asciiTheme="majorHAnsi" w:hAnsiTheme="majorHAnsi" w:cs="Arial"/>
          <w:sz w:val="24"/>
          <w:szCs w:val="24"/>
        </w:rPr>
      </w:pPr>
      <w:r w:rsidRPr="006645C9">
        <w:rPr>
          <w:rFonts w:asciiTheme="majorHAnsi" w:hAnsiTheme="majorHAnsi" w:cs="Arial"/>
          <w:sz w:val="24"/>
          <w:szCs w:val="24"/>
        </w:rPr>
        <w:t>De vorm van de schedel wordt bepaald door de maximale breedte van de schedel te delen door</w:t>
      </w:r>
      <w:r>
        <w:rPr>
          <w:rFonts w:asciiTheme="majorHAnsi" w:hAnsiTheme="majorHAnsi" w:cs="Arial"/>
          <w:sz w:val="24"/>
          <w:szCs w:val="24"/>
        </w:rPr>
        <w:t xml:space="preserve"> </w:t>
      </w:r>
      <w:r w:rsidRPr="006645C9">
        <w:rPr>
          <w:rFonts w:asciiTheme="majorHAnsi" w:hAnsiTheme="majorHAnsi" w:cs="Arial"/>
          <w:sz w:val="24"/>
          <w:szCs w:val="24"/>
        </w:rPr>
        <w:t>de maximale lengte van de schedel. Er wordt onderscheid gemaakt tussen drie categorieën: een</w:t>
      </w:r>
      <w:r>
        <w:rPr>
          <w:rFonts w:asciiTheme="majorHAnsi" w:hAnsiTheme="majorHAnsi" w:cs="Arial"/>
          <w:sz w:val="24"/>
          <w:szCs w:val="24"/>
        </w:rPr>
        <w:t xml:space="preserve"> </w:t>
      </w:r>
      <w:proofErr w:type="spellStart"/>
      <w:r w:rsidRPr="006645C9">
        <w:rPr>
          <w:rFonts w:asciiTheme="majorHAnsi" w:hAnsiTheme="majorHAnsi" w:cs="Arial"/>
          <w:sz w:val="24"/>
          <w:szCs w:val="24"/>
        </w:rPr>
        <w:t>brachycrane</w:t>
      </w:r>
      <w:proofErr w:type="spellEnd"/>
      <w:r w:rsidRPr="006645C9">
        <w:rPr>
          <w:rFonts w:asciiTheme="majorHAnsi" w:hAnsiTheme="majorHAnsi" w:cs="Arial"/>
          <w:sz w:val="24"/>
          <w:szCs w:val="24"/>
        </w:rPr>
        <w:t xml:space="preserve"> schedelvorm (korte en breed), een </w:t>
      </w:r>
      <w:proofErr w:type="spellStart"/>
      <w:r w:rsidRPr="006645C9">
        <w:rPr>
          <w:rFonts w:asciiTheme="majorHAnsi" w:hAnsiTheme="majorHAnsi" w:cs="Arial"/>
          <w:sz w:val="24"/>
          <w:szCs w:val="24"/>
        </w:rPr>
        <w:t>mesocrane</w:t>
      </w:r>
      <w:proofErr w:type="spellEnd"/>
      <w:r w:rsidRPr="006645C9">
        <w:rPr>
          <w:rFonts w:asciiTheme="majorHAnsi" w:hAnsiTheme="majorHAnsi" w:cs="Arial"/>
          <w:sz w:val="24"/>
          <w:szCs w:val="24"/>
        </w:rPr>
        <w:t xml:space="preserve"> schedelvorm (gemiddeld) en een</w:t>
      </w:r>
      <w:r>
        <w:rPr>
          <w:rFonts w:asciiTheme="majorHAnsi" w:hAnsiTheme="majorHAnsi" w:cs="Arial"/>
          <w:sz w:val="24"/>
          <w:szCs w:val="24"/>
        </w:rPr>
        <w:t xml:space="preserve"> </w:t>
      </w:r>
      <w:proofErr w:type="spellStart"/>
      <w:r w:rsidRPr="006645C9">
        <w:rPr>
          <w:rFonts w:asciiTheme="majorHAnsi" w:hAnsiTheme="majorHAnsi" w:cs="Arial"/>
          <w:sz w:val="24"/>
          <w:szCs w:val="24"/>
        </w:rPr>
        <w:t>dolichocrane</w:t>
      </w:r>
      <w:proofErr w:type="spellEnd"/>
      <w:r w:rsidRPr="006645C9">
        <w:rPr>
          <w:rFonts w:asciiTheme="majorHAnsi" w:hAnsiTheme="majorHAnsi" w:cs="Arial"/>
          <w:sz w:val="24"/>
          <w:szCs w:val="24"/>
        </w:rPr>
        <w:t xml:space="preserve"> schedelvorm (lang en smal)</w:t>
      </w:r>
      <w:r w:rsidRPr="006645C9">
        <w:rPr>
          <w:rStyle w:val="Voetnootmarkering"/>
          <w:rFonts w:asciiTheme="majorHAnsi" w:hAnsiTheme="majorHAnsi" w:cs="Arial"/>
          <w:sz w:val="24"/>
          <w:szCs w:val="24"/>
        </w:rPr>
        <w:footnoteReference w:id="24"/>
      </w:r>
      <w:r w:rsidRPr="006645C9">
        <w:rPr>
          <w:rFonts w:asciiTheme="majorHAnsi" w:hAnsiTheme="majorHAnsi" w:cs="Arial"/>
          <w:sz w:val="24"/>
          <w:szCs w:val="24"/>
        </w:rPr>
        <w:t>. De schedelvorm kan in grote lijnen iets zeggen over de oorspronkelijke herkomst van een gemeenschap</w:t>
      </w:r>
      <w:r w:rsidRPr="006645C9">
        <w:rPr>
          <w:rStyle w:val="Voetnootmarkering"/>
          <w:rFonts w:asciiTheme="majorHAnsi" w:hAnsiTheme="majorHAnsi" w:cs="Arial"/>
          <w:sz w:val="24"/>
          <w:szCs w:val="24"/>
        </w:rPr>
        <w:footnoteReference w:id="25"/>
      </w:r>
      <w:r w:rsidRPr="006645C9">
        <w:rPr>
          <w:rFonts w:asciiTheme="majorHAnsi" w:hAnsiTheme="majorHAnsi" w:cs="Arial"/>
          <w:sz w:val="24"/>
          <w:szCs w:val="24"/>
        </w:rPr>
        <w:t xml:space="preserve">. </w:t>
      </w:r>
    </w:p>
    <w:p w14:paraId="5A112DB3" w14:textId="77777777" w:rsidR="00EC7448" w:rsidRPr="006645C9" w:rsidRDefault="00EC7448" w:rsidP="00EC7448">
      <w:pPr>
        <w:spacing w:after="0"/>
        <w:jc w:val="both"/>
        <w:rPr>
          <w:rFonts w:asciiTheme="majorHAnsi" w:hAnsiTheme="majorHAnsi" w:cs="Arial"/>
          <w:sz w:val="24"/>
          <w:szCs w:val="24"/>
        </w:rPr>
      </w:pPr>
    </w:p>
    <w:p w14:paraId="60130D82" w14:textId="77777777" w:rsidR="00EC7448" w:rsidRPr="006645C9" w:rsidRDefault="00EC7448" w:rsidP="00EC7448">
      <w:pPr>
        <w:pageBreakBefore/>
        <w:spacing w:after="0"/>
        <w:jc w:val="both"/>
        <w:rPr>
          <w:rFonts w:asciiTheme="majorHAnsi" w:hAnsiTheme="majorHAnsi" w:cs="Arial"/>
          <w:sz w:val="32"/>
          <w:szCs w:val="32"/>
        </w:rPr>
      </w:pPr>
      <w:r w:rsidRPr="006645C9">
        <w:rPr>
          <w:rFonts w:asciiTheme="majorHAnsi" w:hAnsiTheme="majorHAnsi" w:cs="Arial"/>
          <w:sz w:val="32"/>
          <w:szCs w:val="32"/>
        </w:rPr>
        <w:lastRenderedPageBreak/>
        <w:t>LITERATUUR</w:t>
      </w:r>
    </w:p>
    <w:p w14:paraId="55FA1A21" w14:textId="77777777" w:rsidR="00EC7448" w:rsidRPr="006645C9" w:rsidRDefault="00EC7448" w:rsidP="00EC7448">
      <w:pPr>
        <w:spacing w:after="0"/>
        <w:jc w:val="both"/>
        <w:rPr>
          <w:rFonts w:asciiTheme="majorHAnsi" w:hAnsiTheme="majorHAnsi" w:cs="Arial"/>
        </w:rPr>
      </w:pPr>
    </w:p>
    <w:p w14:paraId="76C93F06"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 xml:space="preserve">ACSÁDI G. &amp; NEMESKÉRI J., 1970, </w:t>
      </w:r>
      <w:r w:rsidRPr="006645C9">
        <w:rPr>
          <w:rFonts w:asciiTheme="majorHAnsi" w:hAnsiTheme="majorHAnsi" w:cs="Arial"/>
          <w:i/>
          <w:iCs/>
          <w:color w:val="auto"/>
          <w:lang w:val="en-US"/>
        </w:rPr>
        <w:t>History of Human Life Span and Mortality</w:t>
      </w:r>
      <w:r w:rsidRPr="006645C9">
        <w:rPr>
          <w:rFonts w:asciiTheme="majorHAnsi" w:hAnsiTheme="majorHAnsi" w:cs="Arial"/>
          <w:color w:val="auto"/>
          <w:lang w:val="en-US"/>
        </w:rPr>
        <w:t xml:space="preserve">. Budapest, </w:t>
      </w:r>
      <w:proofErr w:type="spellStart"/>
      <w:r w:rsidRPr="006645C9">
        <w:rPr>
          <w:rFonts w:asciiTheme="majorHAnsi" w:hAnsiTheme="majorHAnsi" w:cs="Arial"/>
          <w:color w:val="auto"/>
          <w:lang w:val="en-US"/>
        </w:rPr>
        <w:t>Akadememiai</w:t>
      </w:r>
      <w:proofErr w:type="spellEnd"/>
      <w:r w:rsidRPr="006645C9">
        <w:rPr>
          <w:rFonts w:asciiTheme="majorHAnsi" w:hAnsiTheme="majorHAnsi" w:cs="Arial"/>
          <w:color w:val="auto"/>
          <w:lang w:val="en-US"/>
        </w:rPr>
        <w:t xml:space="preserve"> </w:t>
      </w:r>
      <w:proofErr w:type="spellStart"/>
      <w:r w:rsidRPr="006645C9">
        <w:rPr>
          <w:rFonts w:asciiTheme="majorHAnsi" w:hAnsiTheme="majorHAnsi" w:cs="Arial"/>
          <w:color w:val="auto"/>
          <w:lang w:val="en-US"/>
        </w:rPr>
        <w:t>Kiado</w:t>
      </w:r>
      <w:proofErr w:type="spellEnd"/>
      <w:r w:rsidRPr="006645C9">
        <w:rPr>
          <w:rFonts w:asciiTheme="majorHAnsi" w:hAnsiTheme="majorHAnsi" w:cs="Arial"/>
          <w:color w:val="auto"/>
          <w:lang w:val="en-US"/>
        </w:rPr>
        <w:t xml:space="preserve">. </w:t>
      </w:r>
    </w:p>
    <w:p w14:paraId="2183BD9F" w14:textId="77777777" w:rsidR="00EC7448" w:rsidRPr="006645C9" w:rsidRDefault="00EC7448" w:rsidP="00EC7448">
      <w:pPr>
        <w:pStyle w:val="Default"/>
        <w:numPr>
          <w:ilvl w:val="0"/>
          <w:numId w:val="2"/>
        </w:numPr>
        <w:jc w:val="both"/>
        <w:rPr>
          <w:rFonts w:asciiTheme="majorHAnsi" w:hAnsiTheme="majorHAnsi" w:cs="Arial"/>
          <w:color w:val="auto"/>
        </w:rPr>
      </w:pPr>
      <w:r w:rsidRPr="006645C9">
        <w:rPr>
          <w:rFonts w:asciiTheme="majorHAnsi" w:hAnsiTheme="majorHAnsi" w:cs="Arial"/>
          <w:color w:val="auto"/>
        </w:rPr>
        <w:t xml:space="preserve">BAETSEN S., 2001, </w:t>
      </w:r>
      <w:r w:rsidRPr="006645C9">
        <w:rPr>
          <w:rFonts w:asciiTheme="majorHAnsi" w:hAnsiTheme="majorHAnsi" w:cs="Arial"/>
          <w:i/>
          <w:iCs/>
          <w:color w:val="auto"/>
        </w:rPr>
        <w:t>Graven in de Grote Kerk, het fysisch-antropologisch onderzoek van de graven in de St. Laurenskerk van Alkmaar</w:t>
      </w:r>
      <w:r w:rsidRPr="006645C9">
        <w:rPr>
          <w:rFonts w:asciiTheme="majorHAnsi" w:hAnsiTheme="majorHAnsi" w:cs="Arial"/>
          <w:color w:val="auto"/>
        </w:rPr>
        <w:t xml:space="preserve">, (RAMA 8), Alkmaar, Rapporten over de Alkmaarse Monumentenzorg en Archeologie 8. </w:t>
      </w:r>
    </w:p>
    <w:p w14:paraId="560E3ABA" w14:textId="77777777" w:rsidR="00EC7448" w:rsidRPr="006645C9" w:rsidRDefault="00EC7448" w:rsidP="00EC7448">
      <w:pPr>
        <w:pStyle w:val="Lijstalinea"/>
        <w:numPr>
          <w:ilvl w:val="0"/>
          <w:numId w:val="2"/>
        </w:numPr>
        <w:autoSpaceDE w:val="0"/>
        <w:autoSpaceDN w:val="0"/>
        <w:adjustRightInd w:val="0"/>
        <w:spacing w:after="0" w:line="300" w:lineRule="auto"/>
        <w:jc w:val="both"/>
        <w:rPr>
          <w:rFonts w:asciiTheme="majorHAnsi" w:hAnsiTheme="majorHAnsi"/>
          <w:noProof/>
          <w:sz w:val="24"/>
          <w:szCs w:val="24"/>
        </w:rPr>
      </w:pPr>
      <w:r w:rsidRPr="006645C9">
        <w:rPr>
          <w:rFonts w:asciiTheme="majorHAnsi" w:hAnsiTheme="majorHAnsi" w:cs="Arial"/>
          <w:sz w:val="24"/>
          <w:szCs w:val="24"/>
        </w:rPr>
        <w:t xml:space="preserve">BREITINGER E., 1937, </w:t>
      </w:r>
      <w:proofErr w:type="spellStart"/>
      <w:r w:rsidRPr="006645C9">
        <w:rPr>
          <w:rFonts w:asciiTheme="majorHAnsi" w:hAnsiTheme="majorHAnsi" w:cs="Arial"/>
          <w:sz w:val="24"/>
          <w:szCs w:val="24"/>
        </w:rPr>
        <w:t>Zur</w:t>
      </w:r>
      <w:proofErr w:type="spellEnd"/>
      <w:r w:rsidRPr="006645C9">
        <w:rPr>
          <w:rFonts w:asciiTheme="majorHAnsi" w:hAnsiTheme="majorHAnsi" w:cs="Arial"/>
          <w:sz w:val="24"/>
          <w:szCs w:val="24"/>
        </w:rPr>
        <w:t xml:space="preserve"> </w:t>
      </w:r>
      <w:proofErr w:type="spellStart"/>
      <w:r w:rsidRPr="006645C9">
        <w:rPr>
          <w:rFonts w:asciiTheme="majorHAnsi" w:hAnsiTheme="majorHAnsi" w:cs="Arial"/>
          <w:sz w:val="24"/>
          <w:szCs w:val="24"/>
        </w:rPr>
        <w:t>berechnung</w:t>
      </w:r>
      <w:proofErr w:type="spellEnd"/>
      <w:r w:rsidRPr="006645C9">
        <w:rPr>
          <w:rFonts w:asciiTheme="majorHAnsi" w:hAnsiTheme="majorHAnsi" w:cs="Arial"/>
          <w:sz w:val="24"/>
          <w:szCs w:val="24"/>
        </w:rPr>
        <w:t xml:space="preserve"> der </w:t>
      </w:r>
      <w:proofErr w:type="spellStart"/>
      <w:r w:rsidRPr="006645C9">
        <w:rPr>
          <w:rFonts w:asciiTheme="majorHAnsi" w:hAnsiTheme="majorHAnsi" w:cs="Arial"/>
          <w:sz w:val="24"/>
          <w:szCs w:val="24"/>
        </w:rPr>
        <w:t>Korperhöhe</w:t>
      </w:r>
      <w:proofErr w:type="spellEnd"/>
      <w:r w:rsidRPr="006645C9">
        <w:rPr>
          <w:rFonts w:asciiTheme="majorHAnsi" w:hAnsiTheme="majorHAnsi" w:cs="Arial"/>
          <w:sz w:val="24"/>
          <w:szCs w:val="24"/>
        </w:rPr>
        <w:t xml:space="preserve"> </w:t>
      </w:r>
      <w:proofErr w:type="spellStart"/>
      <w:r w:rsidRPr="006645C9">
        <w:rPr>
          <w:rFonts w:asciiTheme="majorHAnsi" w:hAnsiTheme="majorHAnsi" w:cs="Arial"/>
          <w:sz w:val="24"/>
          <w:szCs w:val="24"/>
        </w:rPr>
        <w:t>aus</w:t>
      </w:r>
      <w:proofErr w:type="spellEnd"/>
      <w:r w:rsidRPr="006645C9">
        <w:rPr>
          <w:rFonts w:asciiTheme="majorHAnsi" w:hAnsiTheme="majorHAnsi" w:cs="Arial"/>
          <w:sz w:val="24"/>
          <w:szCs w:val="24"/>
        </w:rPr>
        <w:t xml:space="preserve"> den langen </w:t>
      </w:r>
      <w:proofErr w:type="spellStart"/>
      <w:r w:rsidRPr="006645C9">
        <w:rPr>
          <w:rFonts w:asciiTheme="majorHAnsi" w:hAnsiTheme="majorHAnsi" w:cs="Arial"/>
          <w:sz w:val="24"/>
          <w:szCs w:val="24"/>
        </w:rPr>
        <w:t>Gliedermassenknochen</w:t>
      </w:r>
      <w:proofErr w:type="spellEnd"/>
      <w:r w:rsidRPr="006645C9">
        <w:rPr>
          <w:rFonts w:asciiTheme="majorHAnsi" w:hAnsiTheme="majorHAnsi" w:cs="Arial"/>
          <w:sz w:val="24"/>
          <w:szCs w:val="24"/>
        </w:rPr>
        <w:t xml:space="preserve">, </w:t>
      </w:r>
      <w:proofErr w:type="spellStart"/>
      <w:r w:rsidRPr="006645C9">
        <w:rPr>
          <w:rFonts w:asciiTheme="majorHAnsi" w:hAnsiTheme="majorHAnsi" w:cs="Arial"/>
          <w:i/>
          <w:sz w:val="24"/>
          <w:szCs w:val="24"/>
        </w:rPr>
        <w:t>Anthropologischer</w:t>
      </w:r>
      <w:proofErr w:type="spellEnd"/>
      <w:r w:rsidRPr="006645C9">
        <w:rPr>
          <w:rFonts w:asciiTheme="majorHAnsi" w:hAnsiTheme="majorHAnsi" w:cs="Arial"/>
          <w:i/>
          <w:sz w:val="24"/>
          <w:szCs w:val="24"/>
        </w:rPr>
        <w:t xml:space="preserve"> </w:t>
      </w:r>
      <w:proofErr w:type="spellStart"/>
      <w:r w:rsidRPr="006645C9">
        <w:rPr>
          <w:rFonts w:asciiTheme="majorHAnsi" w:hAnsiTheme="majorHAnsi" w:cs="Arial"/>
          <w:i/>
          <w:sz w:val="24"/>
          <w:szCs w:val="24"/>
        </w:rPr>
        <w:t>Anzeiger</w:t>
      </w:r>
      <w:proofErr w:type="spellEnd"/>
      <w:r w:rsidRPr="006645C9">
        <w:rPr>
          <w:rFonts w:asciiTheme="majorHAnsi" w:hAnsiTheme="majorHAnsi" w:cs="Arial"/>
          <w:sz w:val="24"/>
          <w:szCs w:val="24"/>
        </w:rPr>
        <w:t xml:space="preserve"> 14, 249-47.</w:t>
      </w:r>
    </w:p>
    <w:p w14:paraId="7AEFD3B9" w14:textId="77777777" w:rsidR="00EC7448" w:rsidRPr="006645C9" w:rsidRDefault="00EC7448" w:rsidP="00EC7448">
      <w:pPr>
        <w:pStyle w:val="Default"/>
        <w:numPr>
          <w:ilvl w:val="0"/>
          <w:numId w:val="2"/>
        </w:numPr>
        <w:jc w:val="both"/>
        <w:rPr>
          <w:rFonts w:asciiTheme="majorHAnsi" w:hAnsiTheme="majorHAnsi" w:cs="Arial"/>
          <w:color w:val="auto"/>
        </w:rPr>
      </w:pPr>
      <w:r w:rsidRPr="006645C9">
        <w:rPr>
          <w:rFonts w:asciiTheme="majorHAnsi" w:hAnsiTheme="majorHAnsi" w:cs="Arial"/>
          <w:color w:val="auto"/>
          <w:lang w:val="en-US"/>
        </w:rPr>
        <w:t xml:space="preserve">BROCA P., 1875, Instructions </w:t>
      </w:r>
      <w:proofErr w:type="spellStart"/>
      <w:r w:rsidRPr="006645C9">
        <w:rPr>
          <w:rFonts w:asciiTheme="majorHAnsi" w:hAnsiTheme="majorHAnsi" w:cs="Arial"/>
          <w:color w:val="auto"/>
          <w:lang w:val="en-US"/>
        </w:rPr>
        <w:t>craniologiques</w:t>
      </w:r>
      <w:proofErr w:type="spellEnd"/>
      <w:r w:rsidRPr="006645C9">
        <w:rPr>
          <w:rFonts w:asciiTheme="majorHAnsi" w:hAnsiTheme="majorHAnsi" w:cs="Arial"/>
          <w:color w:val="auto"/>
          <w:lang w:val="en-US"/>
        </w:rPr>
        <w:t xml:space="preserve"> et </w:t>
      </w:r>
      <w:proofErr w:type="spellStart"/>
      <w:r w:rsidRPr="006645C9">
        <w:rPr>
          <w:rFonts w:asciiTheme="majorHAnsi" w:hAnsiTheme="majorHAnsi" w:cs="Arial"/>
          <w:color w:val="auto"/>
          <w:lang w:val="en-US"/>
        </w:rPr>
        <w:t>craniométriques</w:t>
      </w:r>
      <w:proofErr w:type="spellEnd"/>
      <w:r w:rsidRPr="006645C9">
        <w:rPr>
          <w:rFonts w:asciiTheme="majorHAnsi" w:hAnsiTheme="majorHAnsi" w:cs="Arial"/>
          <w:color w:val="auto"/>
          <w:lang w:val="en-US"/>
        </w:rPr>
        <w:t xml:space="preserve">. </w:t>
      </w:r>
      <w:r w:rsidRPr="006645C9">
        <w:rPr>
          <w:rFonts w:asciiTheme="majorHAnsi" w:hAnsiTheme="majorHAnsi" w:cs="Arial"/>
          <w:i/>
          <w:color w:val="auto"/>
        </w:rPr>
        <w:t xml:space="preserve">Mémoires de la Société </w:t>
      </w:r>
      <w:proofErr w:type="spellStart"/>
      <w:r w:rsidRPr="006645C9">
        <w:rPr>
          <w:rFonts w:asciiTheme="majorHAnsi" w:hAnsiTheme="majorHAnsi" w:cs="Arial"/>
          <w:i/>
          <w:color w:val="auto"/>
        </w:rPr>
        <w:t>d’Anthropologie</w:t>
      </w:r>
      <w:proofErr w:type="spellEnd"/>
      <w:r w:rsidRPr="006645C9">
        <w:rPr>
          <w:rFonts w:asciiTheme="majorHAnsi" w:hAnsiTheme="majorHAnsi" w:cs="Arial"/>
          <w:i/>
          <w:color w:val="auto"/>
        </w:rPr>
        <w:t xml:space="preserve"> de Paris II</w:t>
      </w:r>
      <w:r w:rsidRPr="006645C9">
        <w:rPr>
          <w:rFonts w:asciiTheme="majorHAnsi" w:hAnsiTheme="majorHAnsi" w:cs="Arial"/>
          <w:color w:val="auto"/>
        </w:rPr>
        <w:t xml:space="preserve">, 2ème </w:t>
      </w:r>
      <w:proofErr w:type="spellStart"/>
      <w:r w:rsidRPr="006645C9">
        <w:rPr>
          <w:rFonts w:asciiTheme="majorHAnsi" w:hAnsiTheme="majorHAnsi" w:cs="Arial"/>
          <w:color w:val="auto"/>
        </w:rPr>
        <w:t>sér</w:t>
      </w:r>
      <w:proofErr w:type="spellEnd"/>
      <w:r w:rsidRPr="006645C9">
        <w:rPr>
          <w:rFonts w:asciiTheme="majorHAnsi" w:hAnsiTheme="majorHAnsi" w:cs="Arial"/>
          <w:color w:val="auto"/>
        </w:rPr>
        <w:t>., 1875.</w:t>
      </w:r>
    </w:p>
    <w:p w14:paraId="5D9A5E76"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 xml:space="preserve">BROTHWELL D.R., 1981, </w:t>
      </w:r>
      <w:r w:rsidRPr="006645C9">
        <w:rPr>
          <w:rFonts w:asciiTheme="majorHAnsi" w:hAnsiTheme="majorHAnsi" w:cs="Arial"/>
          <w:i/>
          <w:iCs/>
          <w:color w:val="auto"/>
          <w:lang w:val="en-US"/>
        </w:rPr>
        <w:t>Digging up bones</w:t>
      </w:r>
      <w:r w:rsidRPr="006645C9">
        <w:rPr>
          <w:rFonts w:asciiTheme="majorHAnsi" w:hAnsiTheme="majorHAnsi" w:cs="Arial"/>
          <w:color w:val="auto"/>
          <w:lang w:val="en-US"/>
        </w:rPr>
        <w:t xml:space="preserve">, Oxford (3rd ed.), Oxford University Press. </w:t>
      </w:r>
    </w:p>
    <w:p w14:paraId="0626B142" w14:textId="77777777" w:rsidR="00EC7448" w:rsidRPr="006645C9" w:rsidRDefault="00EC7448" w:rsidP="00EC7448">
      <w:pPr>
        <w:pStyle w:val="Default"/>
        <w:numPr>
          <w:ilvl w:val="0"/>
          <w:numId w:val="2"/>
        </w:numPr>
        <w:jc w:val="both"/>
        <w:rPr>
          <w:rFonts w:asciiTheme="majorHAnsi" w:hAnsiTheme="majorHAnsi" w:cs="Arial"/>
          <w:color w:val="auto"/>
        </w:rPr>
      </w:pPr>
      <w:r w:rsidRPr="006645C9">
        <w:rPr>
          <w:rFonts w:asciiTheme="majorHAnsi" w:hAnsiTheme="majorHAnsi" w:cs="Arial"/>
          <w:color w:val="auto"/>
        </w:rPr>
        <w:t xml:space="preserve">CONSTANDSE T.S., 1968, </w:t>
      </w:r>
      <w:r w:rsidRPr="006645C9">
        <w:rPr>
          <w:rFonts w:asciiTheme="majorHAnsi" w:hAnsiTheme="majorHAnsi" w:cs="Arial"/>
          <w:i/>
          <w:color w:val="auto"/>
        </w:rPr>
        <w:t>Fysisch antropologische beschouwingen over de Nederlandse bevolking, een poging tot synthese</w:t>
      </w:r>
      <w:r w:rsidRPr="006645C9">
        <w:rPr>
          <w:rFonts w:asciiTheme="majorHAnsi" w:hAnsiTheme="majorHAnsi" w:cs="Arial"/>
          <w:color w:val="auto"/>
        </w:rPr>
        <w:t>, 1968, Rotterdam.</w:t>
      </w:r>
    </w:p>
    <w:p w14:paraId="156AE308"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 xml:space="preserve">KNUSSMANN R., 1988, </w:t>
      </w:r>
      <w:r w:rsidRPr="006645C9">
        <w:rPr>
          <w:rFonts w:asciiTheme="majorHAnsi" w:hAnsiTheme="majorHAnsi" w:cs="Arial"/>
          <w:i/>
          <w:color w:val="auto"/>
          <w:lang w:val="en-US"/>
        </w:rPr>
        <w:t>Anthropologie</w:t>
      </w:r>
      <w:r w:rsidRPr="006645C9">
        <w:rPr>
          <w:rFonts w:asciiTheme="majorHAnsi" w:hAnsiTheme="majorHAnsi" w:cs="Arial"/>
          <w:color w:val="auto"/>
          <w:lang w:val="en-US"/>
        </w:rPr>
        <w:t>, Gustav Fischer, New York.</w:t>
      </w:r>
    </w:p>
    <w:p w14:paraId="40946A45"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 xml:space="preserve">LOVEJOY C.O., MEINDL R.S., PRYZBECK T.R., et all, 1985, Chronological metamorphosis of the auricular surface of the ilium, a new method for the determination of adult skeletal age at death, </w:t>
      </w:r>
      <w:r w:rsidRPr="006645C9">
        <w:rPr>
          <w:rFonts w:asciiTheme="majorHAnsi" w:hAnsiTheme="majorHAnsi" w:cs="Arial"/>
          <w:i/>
          <w:iCs/>
          <w:color w:val="auto"/>
          <w:lang w:val="en-US"/>
        </w:rPr>
        <w:t xml:space="preserve">American Journal of Physical Anthropology </w:t>
      </w:r>
      <w:r w:rsidRPr="006645C9">
        <w:rPr>
          <w:rFonts w:asciiTheme="majorHAnsi" w:hAnsiTheme="majorHAnsi" w:cs="Arial"/>
          <w:color w:val="auto"/>
          <w:lang w:val="en-US"/>
        </w:rPr>
        <w:t xml:space="preserve">68, 15-28. </w:t>
      </w:r>
    </w:p>
    <w:p w14:paraId="18BDB408"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 xml:space="preserve">MAAT G.J.R., 2003, Chapter 3: ‘Male stature, a parameter of health and wealth in the low countries, 50-1997 AD’, in: HILLSON S.W., BROTHWELL D.R., MAAT G.J.R., 2003, </w:t>
      </w:r>
      <w:proofErr w:type="spellStart"/>
      <w:r w:rsidRPr="006645C9">
        <w:rPr>
          <w:rFonts w:asciiTheme="majorHAnsi" w:hAnsiTheme="majorHAnsi" w:cs="Arial"/>
          <w:i/>
          <w:iCs/>
          <w:color w:val="auto"/>
          <w:lang w:val="en-US"/>
        </w:rPr>
        <w:t>Vijfentwintigste</w:t>
      </w:r>
      <w:proofErr w:type="spellEnd"/>
      <w:r w:rsidRPr="006645C9">
        <w:rPr>
          <w:rFonts w:asciiTheme="majorHAnsi" w:hAnsiTheme="majorHAnsi" w:cs="Arial"/>
          <w:i/>
          <w:iCs/>
          <w:color w:val="auto"/>
          <w:lang w:val="en-US"/>
        </w:rPr>
        <w:t xml:space="preserve"> kroon-</w:t>
      </w:r>
      <w:proofErr w:type="spellStart"/>
      <w:r w:rsidRPr="006645C9">
        <w:rPr>
          <w:rFonts w:asciiTheme="majorHAnsi" w:hAnsiTheme="majorHAnsi" w:cs="Arial"/>
          <w:i/>
          <w:iCs/>
          <w:color w:val="auto"/>
          <w:lang w:val="en-US"/>
        </w:rPr>
        <w:t>voordracht</w:t>
      </w:r>
      <w:proofErr w:type="spellEnd"/>
      <w:r w:rsidRPr="006645C9">
        <w:rPr>
          <w:rFonts w:asciiTheme="majorHAnsi" w:hAnsiTheme="majorHAnsi" w:cs="Arial"/>
          <w:i/>
          <w:iCs/>
          <w:color w:val="auto"/>
          <w:lang w:val="en-US"/>
        </w:rPr>
        <w:t>, Wealth, health and human remains in archaeology</w:t>
      </w:r>
      <w:r w:rsidRPr="006645C9">
        <w:rPr>
          <w:rFonts w:asciiTheme="majorHAnsi" w:hAnsiTheme="majorHAnsi" w:cs="Arial"/>
          <w:color w:val="auto"/>
          <w:lang w:val="en-US"/>
        </w:rPr>
        <w:t xml:space="preserve">, Amsterdam: Joh. </w:t>
      </w:r>
      <w:proofErr w:type="spellStart"/>
      <w:r w:rsidRPr="006645C9">
        <w:rPr>
          <w:rFonts w:asciiTheme="majorHAnsi" w:hAnsiTheme="majorHAnsi" w:cs="Arial"/>
          <w:color w:val="auto"/>
          <w:lang w:val="en-US"/>
        </w:rPr>
        <w:t>Enschedé</w:t>
      </w:r>
      <w:proofErr w:type="spellEnd"/>
      <w:r w:rsidRPr="006645C9">
        <w:rPr>
          <w:rFonts w:asciiTheme="majorHAnsi" w:hAnsiTheme="majorHAnsi" w:cs="Arial"/>
          <w:color w:val="auto"/>
          <w:lang w:val="en-US"/>
        </w:rPr>
        <w:t xml:space="preserve">. </w:t>
      </w:r>
    </w:p>
    <w:p w14:paraId="40B05E03" w14:textId="77777777" w:rsidR="00EC7448" w:rsidRPr="006645C9" w:rsidRDefault="00EC7448" w:rsidP="00EC7448">
      <w:pPr>
        <w:pStyle w:val="Default"/>
        <w:numPr>
          <w:ilvl w:val="0"/>
          <w:numId w:val="2"/>
        </w:numPr>
        <w:jc w:val="both"/>
        <w:rPr>
          <w:rFonts w:asciiTheme="majorHAnsi" w:hAnsiTheme="majorHAnsi" w:cstheme="minorHAnsi"/>
          <w:color w:val="auto"/>
          <w:lang w:val="en-US"/>
        </w:rPr>
      </w:pPr>
      <w:r w:rsidRPr="006645C9">
        <w:rPr>
          <w:rFonts w:asciiTheme="majorHAnsi" w:hAnsiTheme="majorHAnsi" w:cs="Arial"/>
          <w:color w:val="auto"/>
          <w:lang w:val="en-US"/>
        </w:rPr>
        <w:t xml:space="preserve">MAAT G.J.R. </w:t>
      </w:r>
      <w:proofErr w:type="spellStart"/>
      <w:r w:rsidRPr="006645C9">
        <w:rPr>
          <w:rFonts w:asciiTheme="majorHAnsi" w:hAnsiTheme="majorHAnsi" w:cs="Arial"/>
          <w:color w:val="auto"/>
          <w:lang w:val="en-US"/>
        </w:rPr>
        <w:t>en</w:t>
      </w:r>
      <w:proofErr w:type="spellEnd"/>
      <w:r w:rsidRPr="006645C9">
        <w:rPr>
          <w:rFonts w:asciiTheme="majorHAnsi" w:hAnsiTheme="majorHAnsi" w:cs="Arial"/>
          <w:color w:val="auto"/>
          <w:lang w:val="en-US"/>
        </w:rPr>
        <w:t xml:space="preserve"> MASTWIJK R.W., 1995, Fusion status of the jugular growth plate: an aid for age at </w:t>
      </w:r>
      <w:r w:rsidRPr="006645C9">
        <w:rPr>
          <w:rFonts w:asciiTheme="majorHAnsi" w:hAnsiTheme="majorHAnsi" w:cstheme="minorHAnsi"/>
          <w:color w:val="auto"/>
          <w:lang w:val="en-US"/>
        </w:rPr>
        <w:t xml:space="preserve">death determination, </w:t>
      </w:r>
      <w:r w:rsidRPr="006645C9">
        <w:rPr>
          <w:rFonts w:asciiTheme="majorHAnsi" w:hAnsiTheme="majorHAnsi" w:cstheme="minorHAnsi"/>
          <w:i/>
          <w:color w:val="auto"/>
          <w:lang w:val="en-US"/>
        </w:rPr>
        <w:t xml:space="preserve">International Journal of </w:t>
      </w:r>
      <w:proofErr w:type="spellStart"/>
      <w:r w:rsidRPr="006645C9">
        <w:rPr>
          <w:rFonts w:asciiTheme="majorHAnsi" w:hAnsiTheme="majorHAnsi" w:cstheme="minorHAnsi"/>
          <w:i/>
          <w:color w:val="auto"/>
          <w:lang w:val="en-US"/>
        </w:rPr>
        <w:t>Osteoarchaeology</w:t>
      </w:r>
      <w:proofErr w:type="spellEnd"/>
      <w:r w:rsidRPr="006645C9">
        <w:rPr>
          <w:rFonts w:asciiTheme="majorHAnsi" w:hAnsiTheme="majorHAnsi" w:cstheme="minorHAnsi"/>
          <w:color w:val="auto"/>
          <w:lang w:val="en-US"/>
        </w:rPr>
        <w:t xml:space="preserve"> 5: 163-167.</w:t>
      </w:r>
    </w:p>
    <w:p w14:paraId="49138164" w14:textId="77777777" w:rsidR="00EC7448" w:rsidRPr="006645C9" w:rsidRDefault="00EC7448" w:rsidP="00EC7448">
      <w:pPr>
        <w:pStyle w:val="Default"/>
        <w:numPr>
          <w:ilvl w:val="0"/>
          <w:numId w:val="2"/>
        </w:numPr>
        <w:jc w:val="both"/>
        <w:rPr>
          <w:rFonts w:asciiTheme="majorHAnsi" w:hAnsiTheme="majorHAnsi" w:cstheme="minorHAnsi"/>
          <w:color w:val="auto"/>
          <w:lang w:val="en-US"/>
        </w:rPr>
      </w:pPr>
      <w:r w:rsidRPr="006645C9">
        <w:rPr>
          <w:rFonts w:asciiTheme="majorHAnsi" w:hAnsiTheme="majorHAnsi" w:cs="Arial"/>
          <w:color w:val="auto"/>
          <w:lang w:val="en-US"/>
        </w:rPr>
        <w:t xml:space="preserve">MAAT G.J.R. &amp; MASTWIJK R.W., 2005, </w:t>
      </w:r>
      <w:r w:rsidRPr="006645C9">
        <w:rPr>
          <w:rFonts w:asciiTheme="majorHAnsi" w:hAnsiTheme="majorHAnsi" w:cs="Arial"/>
          <w:i/>
          <w:color w:val="auto"/>
          <w:lang w:val="en-US"/>
        </w:rPr>
        <w:t>Manual for the Physical Anthropological Report</w:t>
      </w:r>
      <w:r w:rsidRPr="006645C9">
        <w:rPr>
          <w:rFonts w:asciiTheme="majorHAnsi" w:hAnsiTheme="majorHAnsi" w:cs="Arial"/>
          <w:color w:val="auto"/>
          <w:lang w:val="en-US"/>
        </w:rPr>
        <w:t xml:space="preserve">, </w:t>
      </w:r>
      <w:r w:rsidRPr="006645C9">
        <w:rPr>
          <w:rFonts w:asciiTheme="majorHAnsi" w:hAnsiTheme="majorHAnsi" w:cs="Arial"/>
          <w:iCs/>
          <w:color w:val="auto"/>
          <w:lang w:val="en-US"/>
        </w:rPr>
        <w:t xml:space="preserve">Barge’s </w:t>
      </w:r>
      <w:proofErr w:type="spellStart"/>
      <w:r w:rsidRPr="006645C9">
        <w:rPr>
          <w:rFonts w:asciiTheme="majorHAnsi" w:hAnsiTheme="majorHAnsi" w:cs="Arial"/>
          <w:iCs/>
          <w:color w:val="auto"/>
          <w:lang w:val="en-US"/>
        </w:rPr>
        <w:t>Anthro</w:t>
      </w:r>
      <w:r w:rsidRPr="006645C9">
        <w:rPr>
          <w:rFonts w:asciiTheme="majorHAnsi" w:hAnsiTheme="majorHAnsi" w:cstheme="minorHAnsi"/>
          <w:iCs/>
          <w:color w:val="auto"/>
          <w:lang w:val="en-US"/>
        </w:rPr>
        <w:t>pologica</w:t>
      </w:r>
      <w:proofErr w:type="spellEnd"/>
      <w:r w:rsidRPr="006645C9">
        <w:rPr>
          <w:rFonts w:asciiTheme="majorHAnsi" w:hAnsiTheme="majorHAnsi" w:cstheme="minorHAnsi"/>
          <w:iCs/>
          <w:color w:val="auto"/>
          <w:lang w:val="en-US"/>
        </w:rPr>
        <w:t xml:space="preserve"> nr 6</w:t>
      </w:r>
      <w:r w:rsidRPr="006645C9">
        <w:rPr>
          <w:rFonts w:asciiTheme="majorHAnsi" w:hAnsiTheme="majorHAnsi" w:cstheme="minorHAnsi"/>
          <w:color w:val="auto"/>
          <w:lang w:val="en-US"/>
        </w:rPr>
        <w:t xml:space="preserve">, Leiden, Barge’s </w:t>
      </w:r>
      <w:proofErr w:type="spellStart"/>
      <w:r w:rsidRPr="006645C9">
        <w:rPr>
          <w:rFonts w:asciiTheme="majorHAnsi" w:hAnsiTheme="majorHAnsi" w:cstheme="minorHAnsi"/>
          <w:color w:val="auto"/>
          <w:lang w:val="en-US"/>
        </w:rPr>
        <w:t>Anthropologica</w:t>
      </w:r>
      <w:proofErr w:type="spellEnd"/>
      <w:r w:rsidRPr="006645C9">
        <w:rPr>
          <w:rFonts w:asciiTheme="majorHAnsi" w:hAnsiTheme="majorHAnsi" w:cstheme="minorHAnsi"/>
          <w:color w:val="auto"/>
          <w:lang w:val="en-US"/>
        </w:rPr>
        <w:t xml:space="preserve">, LUMC. </w:t>
      </w:r>
    </w:p>
    <w:p w14:paraId="0C57AD2D" w14:textId="77777777" w:rsidR="00EC7448" w:rsidRPr="006645C9" w:rsidRDefault="00EC7448" w:rsidP="00EC7448">
      <w:pPr>
        <w:pStyle w:val="Default"/>
        <w:numPr>
          <w:ilvl w:val="0"/>
          <w:numId w:val="2"/>
        </w:numPr>
        <w:jc w:val="both"/>
        <w:rPr>
          <w:rFonts w:asciiTheme="majorHAnsi" w:hAnsiTheme="majorHAnsi" w:cstheme="minorHAnsi"/>
        </w:rPr>
      </w:pPr>
      <w:r w:rsidRPr="006645C9">
        <w:rPr>
          <w:rFonts w:asciiTheme="majorHAnsi" w:hAnsiTheme="majorHAnsi" w:cstheme="minorHAnsi"/>
        </w:rPr>
        <w:t xml:space="preserve">MAAT G.J.R., MASTWIJK R.W. &amp; SARFATIJ H., 1998, </w:t>
      </w:r>
      <w:r w:rsidRPr="006645C9">
        <w:rPr>
          <w:rFonts w:asciiTheme="majorHAnsi" w:hAnsiTheme="majorHAnsi" w:cstheme="minorHAnsi"/>
          <w:i/>
        </w:rPr>
        <w:t xml:space="preserve">Een fysisch </w:t>
      </w:r>
      <w:proofErr w:type="spellStart"/>
      <w:r w:rsidRPr="006645C9">
        <w:rPr>
          <w:rFonts w:asciiTheme="majorHAnsi" w:hAnsiTheme="majorHAnsi" w:cstheme="minorHAnsi"/>
          <w:i/>
        </w:rPr>
        <w:t>anthropologisch</w:t>
      </w:r>
      <w:proofErr w:type="spellEnd"/>
      <w:r w:rsidRPr="006645C9">
        <w:rPr>
          <w:rFonts w:asciiTheme="majorHAnsi" w:hAnsiTheme="majorHAnsi" w:cstheme="minorHAnsi"/>
          <w:i/>
        </w:rPr>
        <w:t xml:space="preserve"> onderzoek van </w:t>
      </w:r>
      <w:proofErr w:type="spellStart"/>
      <w:r w:rsidRPr="006645C9">
        <w:rPr>
          <w:rFonts w:asciiTheme="majorHAnsi" w:hAnsiTheme="majorHAnsi" w:cstheme="minorHAnsi"/>
          <w:i/>
        </w:rPr>
        <w:t>begravenen</w:t>
      </w:r>
      <w:proofErr w:type="spellEnd"/>
      <w:r w:rsidRPr="006645C9">
        <w:rPr>
          <w:rFonts w:asciiTheme="majorHAnsi" w:hAnsiTheme="majorHAnsi" w:cstheme="minorHAnsi"/>
          <w:i/>
        </w:rPr>
        <w:t xml:space="preserve"> bij het </w:t>
      </w:r>
      <w:proofErr w:type="spellStart"/>
      <w:r w:rsidRPr="006645C9">
        <w:rPr>
          <w:rFonts w:asciiTheme="majorHAnsi" w:hAnsiTheme="majorHAnsi" w:cstheme="minorHAnsi"/>
          <w:i/>
        </w:rPr>
        <w:t>Minderbroedersklooster</w:t>
      </w:r>
      <w:proofErr w:type="spellEnd"/>
      <w:r w:rsidRPr="006645C9">
        <w:rPr>
          <w:rFonts w:asciiTheme="majorHAnsi" w:hAnsiTheme="majorHAnsi" w:cstheme="minorHAnsi"/>
          <w:i/>
        </w:rPr>
        <w:t xml:space="preserve"> te Dordrecht, circa 1275-1572 AD</w:t>
      </w:r>
      <w:r w:rsidRPr="006645C9">
        <w:rPr>
          <w:rFonts w:asciiTheme="majorHAnsi" w:hAnsiTheme="majorHAnsi" w:cstheme="minorHAnsi"/>
        </w:rPr>
        <w:t>, Amersfoort, ROB.</w:t>
      </w:r>
    </w:p>
    <w:p w14:paraId="1A9B54A4" w14:textId="77777777" w:rsidR="00EC7448" w:rsidRPr="006645C9" w:rsidRDefault="00EC7448" w:rsidP="00EC7448">
      <w:pPr>
        <w:pStyle w:val="Default"/>
        <w:numPr>
          <w:ilvl w:val="0"/>
          <w:numId w:val="2"/>
        </w:numPr>
        <w:jc w:val="both"/>
        <w:rPr>
          <w:rFonts w:asciiTheme="majorHAnsi" w:hAnsiTheme="majorHAnsi" w:cstheme="minorHAnsi"/>
          <w:color w:val="auto"/>
          <w:lang w:val="en-US"/>
        </w:rPr>
      </w:pPr>
      <w:r w:rsidRPr="006645C9">
        <w:rPr>
          <w:rFonts w:asciiTheme="majorHAnsi" w:hAnsiTheme="majorHAnsi" w:cstheme="minorHAnsi"/>
          <w:color w:val="auto"/>
          <w:lang w:val="en-US"/>
        </w:rPr>
        <w:t xml:space="preserve">MARESH M.M., 1955, Linear growth of long bones of extremities from infancy through adolescence, </w:t>
      </w:r>
      <w:r w:rsidRPr="006645C9">
        <w:rPr>
          <w:rFonts w:asciiTheme="majorHAnsi" w:hAnsiTheme="majorHAnsi" w:cstheme="minorHAnsi"/>
          <w:i/>
          <w:color w:val="auto"/>
          <w:lang w:val="en-US"/>
        </w:rPr>
        <w:t>American Journal of diseases of Children</w:t>
      </w:r>
      <w:r w:rsidRPr="006645C9">
        <w:rPr>
          <w:rFonts w:asciiTheme="majorHAnsi" w:hAnsiTheme="majorHAnsi" w:cstheme="minorHAnsi"/>
          <w:color w:val="auto"/>
          <w:lang w:val="en-US"/>
        </w:rPr>
        <w:t xml:space="preserve"> 89, 725-742. </w:t>
      </w:r>
    </w:p>
    <w:p w14:paraId="540AE162" w14:textId="77777777" w:rsidR="00EC7448" w:rsidRPr="006645C9" w:rsidRDefault="00EC7448" w:rsidP="00EC7448">
      <w:pPr>
        <w:pStyle w:val="Default"/>
        <w:numPr>
          <w:ilvl w:val="0"/>
          <w:numId w:val="2"/>
        </w:numPr>
        <w:jc w:val="both"/>
        <w:rPr>
          <w:rFonts w:asciiTheme="majorHAnsi" w:hAnsiTheme="majorHAnsi" w:cs="Arial"/>
          <w:color w:val="auto"/>
        </w:rPr>
      </w:pPr>
      <w:r w:rsidRPr="006645C9">
        <w:rPr>
          <w:rFonts w:asciiTheme="majorHAnsi" w:hAnsiTheme="majorHAnsi" w:cs="Arial"/>
          <w:color w:val="auto"/>
        </w:rPr>
        <w:t xml:space="preserve">NEMESKÉRI J., HARSÁNYI R. &amp; ACSÁDI G., 1960, Methoden </w:t>
      </w:r>
      <w:proofErr w:type="spellStart"/>
      <w:r w:rsidRPr="006645C9">
        <w:rPr>
          <w:rFonts w:asciiTheme="majorHAnsi" w:hAnsiTheme="majorHAnsi" w:cs="Arial"/>
          <w:color w:val="auto"/>
        </w:rPr>
        <w:t>zur</w:t>
      </w:r>
      <w:proofErr w:type="spellEnd"/>
      <w:r w:rsidRPr="006645C9">
        <w:rPr>
          <w:rFonts w:asciiTheme="majorHAnsi" w:hAnsiTheme="majorHAnsi" w:cs="Arial"/>
          <w:color w:val="auto"/>
        </w:rPr>
        <w:t xml:space="preserve"> Diagnose des </w:t>
      </w:r>
      <w:proofErr w:type="spellStart"/>
      <w:r w:rsidRPr="006645C9">
        <w:rPr>
          <w:rFonts w:asciiTheme="majorHAnsi" w:hAnsiTheme="majorHAnsi" w:cs="Arial"/>
          <w:color w:val="auto"/>
        </w:rPr>
        <w:t>lebensalters</w:t>
      </w:r>
      <w:proofErr w:type="spellEnd"/>
      <w:r w:rsidRPr="006645C9">
        <w:rPr>
          <w:rFonts w:asciiTheme="majorHAnsi" w:hAnsiTheme="majorHAnsi" w:cs="Arial"/>
          <w:color w:val="auto"/>
        </w:rPr>
        <w:t xml:space="preserve"> </w:t>
      </w:r>
      <w:proofErr w:type="spellStart"/>
      <w:r w:rsidRPr="006645C9">
        <w:rPr>
          <w:rFonts w:asciiTheme="majorHAnsi" w:hAnsiTheme="majorHAnsi" w:cs="Arial"/>
          <w:color w:val="auto"/>
        </w:rPr>
        <w:t>von</w:t>
      </w:r>
      <w:proofErr w:type="spellEnd"/>
      <w:r w:rsidRPr="006645C9">
        <w:rPr>
          <w:rFonts w:asciiTheme="majorHAnsi" w:hAnsiTheme="majorHAnsi" w:cs="Arial"/>
          <w:color w:val="auto"/>
        </w:rPr>
        <w:t xml:space="preserve"> </w:t>
      </w:r>
      <w:proofErr w:type="spellStart"/>
      <w:r w:rsidRPr="006645C9">
        <w:rPr>
          <w:rFonts w:asciiTheme="majorHAnsi" w:hAnsiTheme="majorHAnsi" w:cs="Arial"/>
          <w:color w:val="auto"/>
        </w:rPr>
        <w:t>Skeletfunden</w:t>
      </w:r>
      <w:proofErr w:type="spellEnd"/>
      <w:r w:rsidRPr="006645C9">
        <w:rPr>
          <w:rFonts w:asciiTheme="majorHAnsi" w:hAnsiTheme="majorHAnsi" w:cs="Arial"/>
          <w:color w:val="auto"/>
        </w:rPr>
        <w:t xml:space="preserve">, </w:t>
      </w:r>
      <w:proofErr w:type="spellStart"/>
      <w:r w:rsidRPr="006645C9">
        <w:rPr>
          <w:rFonts w:asciiTheme="majorHAnsi" w:hAnsiTheme="majorHAnsi" w:cs="Arial"/>
          <w:i/>
          <w:iCs/>
          <w:color w:val="auto"/>
        </w:rPr>
        <w:t>Anthropologischer</w:t>
      </w:r>
      <w:proofErr w:type="spellEnd"/>
      <w:r w:rsidRPr="006645C9">
        <w:rPr>
          <w:rFonts w:asciiTheme="majorHAnsi" w:hAnsiTheme="majorHAnsi" w:cs="Arial"/>
          <w:i/>
          <w:iCs/>
          <w:color w:val="auto"/>
        </w:rPr>
        <w:t xml:space="preserve"> </w:t>
      </w:r>
      <w:proofErr w:type="spellStart"/>
      <w:r w:rsidRPr="006645C9">
        <w:rPr>
          <w:rFonts w:asciiTheme="majorHAnsi" w:hAnsiTheme="majorHAnsi" w:cs="Arial"/>
          <w:i/>
          <w:iCs/>
          <w:color w:val="auto"/>
        </w:rPr>
        <w:t>Anzeiger</w:t>
      </w:r>
      <w:proofErr w:type="spellEnd"/>
      <w:r w:rsidRPr="006645C9">
        <w:rPr>
          <w:rFonts w:asciiTheme="majorHAnsi" w:hAnsiTheme="majorHAnsi" w:cs="Arial"/>
          <w:i/>
          <w:iCs/>
          <w:color w:val="auto"/>
        </w:rPr>
        <w:t xml:space="preserve"> </w:t>
      </w:r>
      <w:r w:rsidRPr="006645C9">
        <w:rPr>
          <w:rFonts w:asciiTheme="majorHAnsi" w:hAnsiTheme="majorHAnsi" w:cs="Arial"/>
          <w:color w:val="auto"/>
        </w:rPr>
        <w:t xml:space="preserve">24, 70-95. </w:t>
      </w:r>
    </w:p>
    <w:p w14:paraId="40754338"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ORTNER D.J. &amp; PUTSCHAR W.G.J., 1981,</w:t>
      </w:r>
      <w:r w:rsidRPr="006645C9">
        <w:rPr>
          <w:rFonts w:asciiTheme="majorHAnsi" w:hAnsiTheme="majorHAnsi" w:cs="Arial"/>
          <w:i/>
          <w:color w:val="auto"/>
          <w:lang w:val="en-US"/>
        </w:rPr>
        <w:t xml:space="preserve"> Identification of pathological conditions in human skeletal remains</w:t>
      </w:r>
      <w:r w:rsidRPr="006645C9">
        <w:rPr>
          <w:rFonts w:asciiTheme="majorHAnsi" w:hAnsiTheme="majorHAnsi" w:cs="Arial"/>
          <w:color w:val="auto"/>
          <w:lang w:val="en-US"/>
        </w:rPr>
        <w:t>, Washington.</w:t>
      </w:r>
    </w:p>
    <w:p w14:paraId="6DA09448"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 xml:space="preserve">ORTNER D.J., 2003, </w:t>
      </w:r>
      <w:r w:rsidRPr="006645C9">
        <w:rPr>
          <w:rFonts w:asciiTheme="majorHAnsi" w:hAnsiTheme="majorHAnsi" w:cs="Arial"/>
          <w:i/>
          <w:iCs/>
          <w:color w:val="auto"/>
          <w:lang w:val="en-US"/>
        </w:rPr>
        <w:t>Identification of Pathological Conditions in Human Skeletal Remains, second edition</w:t>
      </w:r>
      <w:r w:rsidRPr="006645C9">
        <w:rPr>
          <w:rFonts w:asciiTheme="majorHAnsi" w:hAnsiTheme="majorHAnsi" w:cs="Arial"/>
          <w:color w:val="auto"/>
          <w:lang w:val="en-US"/>
        </w:rPr>
        <w:t xml:space="preserve">, San Diego: Academic Press, Elsevier. </w:t>
      </w:r>
    </w:p>
    <w:p w14:paraId="44657F4C"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theme="minorHAnsi"/>
          <w:color w:val="auto"/>
          <w:lang w:val="en-US"/>
        </w:rPr>
        <w:t>ROGERS</w:t>
      </w:r>
      <w:r w:rsidRPr="006645C9">
        <w:rPr>
          <w:rFonts w:asciiTheme="majorHAnsi" w:hAnsiTheme="majorHAnsi" w:cs="Arial"/>
          <w:color w:val="auto"/>
          <w:lang w:val="en-US"/>
        </w:rPr>
        <w:t xml:space="preserve"> J. &amp; WALDRON T., 1995, </w:t>
      </w:r>
      <w:r w:rsidRPr="006645C9">
        <w:rPr>
          <w:rFonts w:asciiTheme="majorHAnsi" w:hAnsiTheme="majorHAnsi" w:cs="Arial"/>
          <w:i/>
          <w:color w:val="auto"/>
          <w:lang w:val="en-US"/>
        </w:rPr>
        <w:t>A Field Guide to Joint Disease in Archaeology</w:t>
      </w:r>
      <w:r w:rsidRPr="006645C9">
        <w:rPr>
          <w:rFonts w:asciiTheme="majorHAnsi" w:hAnsiTheme="majorHAnsi" w:cs="Arial"/>
          <w:color w:val="auto"/>
          <w:lang w:val="en-US"/>
        </w:rPr>
        <w:t>, New York (Wiley and Sons).</w:t>
      </w:r>
    </w:p>
    <w:p w14:paraId="04D16B3E" w14:textId="77777777" w:rsidR="00EC7448" w:rsidRDefault="00EC7448" w:rsidP="00EC7448">
      <w:pPr>
        <w:pStyle w:val="Default"/>
        <w:numPr>
          <w:ilvl w:val="0"/>
          <w:numId w:val="2"/>
        </w:numPr>
        <w:jc w:val="both"/>
        <w:rPr>
          <w:rFonts w:asciiTheme="majorHAnsi" w:hAnsiTheme="majorHAnsi" w:cs="Arial"/>
          <w:color w:val="auto"/>
        </w:rPr>
      </w:pPr>
      <w:r w:rsidRPr="006645C9">
        <w:rPr>
          <w:rFonts w:asciiTheme="majorHAnsi" w:hAnsiTheme="majorHAnsi" w:cs="Arial"/>
          <w:color w:val="auto"/>
        </w:rPr>
        <w:t xml:space="preserve">SALOMÉ A.J., 1969, Een </w:t>
      </w:r>
      <w:proofErr w:type="spellStart"/>
      <w:r w:rsidRPr="006645C9">
        <w:rPr>
          <w:rFonts w:asciiTheme="majorHAnsi" w:hAnsiTheme="majorHAnsi" w:cs="Arial"/>
          <w:i/>
          <w:color w:val="auto"/>
        </w:rPr>
        <w:t>craniologisch</w:t>
      </w:r>
      <w:proofErr w:type="spellEnd"/>
      <w:r w:rsidRPr="006645C9">
        <w:rPr>
          <w:rFonts w:asciiTheme="majorHAnsi" w:hAnsiTheme="majorHAnsi" w:cs="Arial"/>
          <w:i/>
          <w:color w:val="auto"/>
        </w:rPr>
        <w:t xml:space="preserve"> onderzoek van de oude bevolking van Valkenburg-Z.H., Thesis</w:t>
      </w:r>
      <w:r w:rsidRPr="006645C9">
        <w:rPr>
          <w:rFonts w:asciiTheme="majorHAnsi" w:hAnsiTheme="majorHAnsi" w:cs="Arial"/>
          <w:color w:val="auto"/>
        </w:rPr>
        <w:t xml:space="preserve">, </w:t>
      </w:r>
      <w:proofErr w:type="spellStart"/>
      <w:r w:rsidRPr="006645C9">
        <w:rPr>
          <w:rFonts w:asciiTheme="majorHAnsi" w:hAnsiTheme="majorHAnsi" w:cs="Arial"/>
          <w:color w:val="auto"/>
        </w:rPr>
        <w:t>Spruyt</w:t>
      </w:r>
      <w:proofErr w:type="spellEnd"/>
      <w:r w:rsidRPr="006645C9">
        <w:rPr>
          <w:rFonts w:asciiTheme="majorHAnsi" w:hAnsiTheme="majorHAnsi" w:cs="Arial"/>
          <w:color w:val="auto"/>
        </w:rPr>
        <w:t xml:space="preserve">, van </w:t>
      </w:r>
      <w:proofErr w:type="spellStart"/>
      <w:r w:rsidRPr="006645C9">
        <w:rPr>
          <w:rFonts w:asciiTheme="majorHAnsi" w:hAnsiTheme="majorHAnsi" w:cs="Arial"/>
          <w:color w:val="auto"/>
        </w:rPr>
        <w:t>Mantgem</w:t>
      </w:r>
      <w:proofErr w:type="spellEnd"/>
      <w:r w:rsidRPr="006645C9">
        <w:rPr>
          <w:rFonts w:asciiTheme="majorHAnsi" w:hAnsiTheme="majorHAnsi" w:cs="Arial"/>
          <w:color w:val="auto"/>
        </w:rPr>
        <w:t xml:space="preserve"> en De Does, Leiden.</w:t>
      </w:r>
    </w:p>
    <w:p w14:paraId="710BDAD3" w14:textId="77777777" w:rsidR="00EC7448" w:rsidRDefault="00EC7448" w:rsidP="00EC7448">
      <w:pPr>
        <w:pStyle w:val="Default"/>
        <w:numPr>
          <w:ilvl w:val="0"/>
          <w:numId w:val="2"/>
        </w:numPr>
        <w:jc w:val="both"/>
        <w:rPr>
          <w:rFonts w:asciiTheme="majorHAnsi" w:hAnsiTheme="majorHAnsi" w:cs="Arial"/>
          <w:color w:val="auto"/>
          <w:lang w:val="en-US"/>
        </w:rPr>
      </w:pPr>
      <w:r w:rsidRPr="009A21B7">
        <w:rPr>
          <w:rFonts w:asciiTheme="majorHAnsi" w:hAnsiTheme="majorHAnsi" w:cs="Arial"/>
          <w:color w:val="auto"/>
          <w:lang w:val="en-US"/>
        </w:rPr>
        <w:t>SCHUTKOWSKI H., 1987, Sex determination of</w:t>
      </w:r>
      <w:r>
        <w:rPr>
          <w:rFonts w:asciiTheme="majorHAnsi" w:hAnsiTheme="majorHAnsi" w:cs="Arial"/>
          <w:color w:val="auto"/>
          <w:lang w:val="en-US"/>
        </w:rPr>
        <w:t xml:space="preserve"> fetal and neonate skeletons by</w:t>
      </w:r>
      <w:r w:rsidRPr="009A21B7">
        <w:rPr>
          <w:rFonts w:asciiTheme="majorHAnsi" w:hAnsiTheme="majorHAnsi" w:cs="Arial"/>
          <w:color w:val="auto"/>
          <w:lang w:val="en-US"/>
        </w:rPr>
        <w:t xml:space="preserve"> means of discriminant analysis</w:t>
      </w:r>
      <w:r>
        <w:rPr>
          <w:rFonts w:asciiTheme="majorHAnsi" w:hAnsiTheme="majorHAnsi" w:cs="Arial"/>
          <w:color w:val="auto"/>
          <w:lang w:val="en-US"/>
        </w:rPr>
        <w:t xml:space="preserve">, </w:t>
      </w:r>
      <w:r w:rsidRPr="009A21B7">
        <w:rPr>
          <w:rFonts w:asciiTheme="majorHAnsi" w:hAnsiTheme="majorHAnsi" w:cs="Arial"/>
          <w:i/>
          <w:color w:val="auto"/>
          <w:lang w:val="en-US"/>
        </w:rPr>
        <w:t>International Journal of Anthropology</w:t>
      </w:r>
      <w:r>
        <w:rPr>
          <w:rFonts w:asciiTheme="majorHAnsi" w:hAnsiTheme="majorHAnsi" w:cs="Arial"/>
          <w:color w:val="auto"/>
          <w:lang w:val="en-US"/>
        </w:rPr>
        <w:t>, vol. 2, n. 4: 347-352, 1987.</w:t>
      </w:r>
    </w:p>
    <w:p w14:paraId="6ED6BE6B" w14:textId="77777777" w:rsidR="00EC7448" w:rsidRPr="009A21B7" w:rsidRDefault="00EC7448" w:rsidP="00EC7448">
      <w:pPr>
        <w:pStyle w:val="Default"/>
        <w:numPr>
          <w:ilvl w:val="0"/>
          <w:numId w:val="2"/>
        </w:numPr>
        <w:jc w:val="both"/>
        <w:rPr>
          <w:rFonts w:asciiTheme="majorHAnsi" w:hAnsiTheme="majorHAnsi" w:cs="Arial"/>
          <w:color w:val="auto"/>
          <w:lang w:val="en-US"/>
        </w:rPr>
      </w:pPr>
      <w:r w:rsidRPr="009A21B7">
        <w:rPr>
          <w:rFonts w:asciiTheme="majorHAnsi" w:hAnsiTheme="majorHAnsi" w:cs="Arial"/>
          <w:color w:val="auto"/>
          <w:lang w:val="en-US"/>
        </w:rPr>
        <w:lastRenderedPageBreak/>
        <w:t xml:space="preserve">SCHUTKOWSKI H., </w:t>
      </w:r>
      <w:r>
        <w:rPr>
          <w:rFonts w:asciiTheme="majorHAnsi" w:hAnsiTheme="majorHAnsi" w:cs="Arial"/>
          <w:color w:val="auto"/>
          <w:lang w:val="en-US"/>
        </w:rPr>
        <w:t>1993</w:t>
      </w:r>
      <w:r w:rsidRPr="009A21B7">
        <w:rPr>
          <w:rFonts w:asciiTheme="majorHAnsi" w:hAnsiTheme="majorHAnsi" w:cs="Arial"/>
          <w:color w:val="auto"/>
          <w:lang w:val="en-US"/>
        </w:rPr>
        <w:t>, Sex determination of</w:t>
      </w:r>
      <w:r>
        <w:rPr>
          <w:rFonts w:asciiTheme="majorHAnsi" w:hAnsiTheme="majorHAnsi" w:cs="Arial"/>
          <w:color w:val="auto"/>
          <w:lang w:val="en-US"/>
        </w:rPr>
        <w:t xml:space="preserve"> infant and juvenile skeletons: I. </w:t>
      </w:r>
      <w:proofErr w:type="spellStart"/>
      <w:r>
        <w:rPr>
          <w:rFonts w:asciiTheme="majorHAnsi" w:hAnsiTheme="majorHAnsi" w:cs="Arial"/>
          <w:color w:val="auto"/>
          <w:lang w:val="en-US"/>
        </w:rPr>
        <w:t>Morphognostic</w:t>
      </w:r>
      <w:proofErr w:type="spellEnd"/>
      <w:r>
        <w:rPr>
          <w:rFonts w:asciiTheme="majorHAnsi" w:hAnsiTheme="majorHAnsi" w:cs="Arial"/>
          <w:color w:val="auto"/>
          <w:lang w:val="en-US"/>
        </w:rPr>
        <w:t xml:space="preserve"> features, </w:t>
      </w:r>
      <w:r w:rsidRPr="00796A9D">
        <w:rPr>
          <w:rFonts w:asciiTheme="majorHAnsi" w:hAnsiTheme="majorHAnsi" w:cs="Arial"/>
          <w:i/>
          <w:color w:val="auto"/>
          <w:lang w:val="en-US"/>
        </w:rPr>
        <w:t>American Journal of Physical Anthropology</w:t>
      </w:r>
      <w:r>
        <w:rPr>
          <w:rFonts w:asciiTheme="majorHAnsi" w:hAnsiTheme="majorHAnsi" w:cs="Arial"/>
          <w:color w:val="auto"/>
          <w:lang w:val="en-US"/>
        </w:rPr>
        <w:t xml:space="preserve"> 90: 199-205, 1993.</w:t>
      </w:r>
    </w:p>
    <w:p w14:paraId="3F54131F"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 xml:space="preserve">SJØVOLD T., 1975, Tables of the combined method for determination of age at death given by NEMESKÉRI, HARSÁNYI &amp; ACSÁDI, </w:t>
      </w:r>
      <w:r w:rsidRPr="006645C9">
        <w:rPr>
          <w:rFonts w:asciiTheme="majorHAnsi" w:hAnsiTheme="majorHAnsi" w:cs="Arial"/>
          <w:i/>
          <w:color w:val="auto"/>
          <w:lang w:val="en-US"/>
        </w:rPr>
        <w:t xml:space="preserve">Anthrop. </w:t>
      </w:r>
      <w:proofErr w:type="spellStart"/>
      <w:r w:rsidRPr="006645C9">
        <w:rPr>
          <w:rFonts w:asciiTheme="majorHAnsi" w:hAnsiTheme="majorHAnsi" w:cs="Arial"/>
          <w:i/>
          <w:color w:val="auto"/>
          <w:lang w:val="en-US"/>
        </w:rPr>
        <w:t>Közl</w:t>
      </w:r>
      <w:proofErr w:type="spellEnd"/>
      <w:r w:rsidRPr="006645C9">
        <w:rPr>
          <w:rFonts w:asciiTheme="majorHAnsi" w:hAnsiTheme="majorHAnsi" w:cs="Arial"/>
          <w:color w:val="auto"/>
          <w:lang w:val="en-US"/>
        </w:rPr>
        <w:t>., 19, 9-22.</w:t>
      </w:r>
    </w:p>
    <w:p w14:paraId="176E56AB"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 xml:space="preserve">TROTTER M. &amp; GLESER G.C., 1958, A re-evaluation of estimation of stature based on measurements of stature taken during life and of long bones after death, </w:t>
      </w:r>
      <w:r w:rsidRPr="006645C9">
        <w:rPr>
          <w:rFonts w:asciiTheme="majorHAnsi" w:hAnsiTheme="majorHAnsi" w:cs="Arial"/>
          <w:i/>
          <w:iCs/>
          <w:color w:val="auto"/>
          <w:lang w:val="en-US"/>
        </w:rPr>
        <w:t xml:space="preserve">American Journal of Physical Anthropology </w:t>
      </w:r>
      <w:r w:rsidRPr="006645C9">
        <w:rPr>
          <w:rFonts w:asciiTheme="majorHAnsi" w:hAnsiTheme="majorHAnsi" w:cs="Arial"/>
          <w:color w:val="auto"/>
          <w:lang w:val="en-US"/>
        </w:rPr>
        <w:t xml:space="preserve">16, 79-123. </w:t>
      </w:r>
    </w:p>
    <w:p w14:paraId="7EFF9FC1"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TROTTER M., 1970, ‘</w:t>
      </w:r>
      <w:r w:rsidRPr="006645C9">
        <w:rPr>
          <w:rFonts w:asciiTheme="majorHAnsi" w:hAnsiTheme="majorHAnsi" w:cs="Arial"/>
          <w:i/>
          <w:color w:val="auto"/>
          <w:lang w:val="en-US"/>
        </w:rPr>
        <w:t>Estimation of stature from intact limb bones’</w:t>
      </w:r>
      <w:r w:rsidRPr="006645C9">
        <w:rPr>
          <w:rFonts w:asciiTheme="majorHAnsi" w:hAnsiTheme="majorHAnsi" w:cs="Arial"/>
          <w:color w:val="auto"/>
          <w:lang w:val="en-US"/>
        </w:rPr>
        <w:t xml:space="preserve">. In STEWART T.D., ed. 1970, </w:t>
      </w:r>
      <w:r w:rsidRPr="006645C9">
        <w:rPr>
          <w:rFonts w:asciiTheme="majorHAnsi" w:hAnsiTheme="majorHAnsi" w:cs="Arial"/>
          <w:i/>
          <w:color w:val="auto"/>
          <w:lang w:val="en-US"/>
        </w:rPr>
        <w:t>Personal identification in mass disasters</w:t>
      </w:r>
      <w:r w:rsidRPr="006645C9">
        <w:rPr>
          <w:rFonts w:asciiTheme="majorHAnsi" w:hAnsiTheme="majorHAnsi" w:cs="Arial"/>
          <w:color w:val="auto"/>
          <w:lang w:val="en-US"/>
        </w:rPr>
        <w:t>, National Museum of Natural History, Washington, 1970.</w:t>
      </w:r>
    </w:p>
    <w:p w14:paraId="2FA0B3D0" w14:textId="77777777" w:rsidR="00EC7448" w:rsidRPr="006645C9" w:rsidRDefault="00EC7448" w:rsidP="00EC7448">
      <w:pPr>
        <w:pStyle w:val="Default"/>
        <w:numPr>
          <w:ilvl w:val="0"/>
          <w:numId w:val="2"/>
        </w:numPr>
        <w:jc w:val="both"/>
        <w:rPr>
          <w:rFonts w:asciiTheme="majorHAnsi" w:hAnsiTheme="majorHAnsi" w:cs="Arial"/>
          <w:color w:val="auto"/>
          <w:lang w:val="en-US"/>
        </w:rPr>
      </w:pPr>
      <w:r w:rsidRPr="006645C9">
        <w:rPr>
          <w:rFonts w:asciiTheme="majorHAnsi" w:hAnsiTheme="majorHAnsi" w:cs="Arial"/>
          <w:color w:val="auto"/>
          <w:lang w:val="en-US"/>
        </w:rPr>
        <w:t xml:space="preserve">UBELAKER, D.H., 1978, </w:t>
      </w:r>
      <w:r w:rsidRPr="006645C9">
        <w:rPr>
          <w:rFonts w:asciiTheme="majorHAnsi" w:hAnsiTheme="majorHAnsi" w:cs="Arial"/>
          <w:i/>
          <w:color w:val="auto"/>
          <w:lang w:val="en-US"/>
        </w:rPr>
        <w:t>Human Skeletal Remains: excavation, analysis and interpretation</w:t>
      </w:r>
      <w:r w:rsidRPr="006645C9">
        <w:rPr>
          <w:rFonts w:asciiTheme="majorHAnsi" w:hAnsiTheme="majorHAnsi" w:cs="Arial"/>
          <w:color w:val="auto"/>
          <w:lang w:val="en-US"/>
        </w:rPr>
        <w:t>, Aldine, Chicago.</w:t>
      </w:r>
    </w:p>
    <w:p w14:paraId="431F006A" w14:textId="77777777" w:rsidR="00EC7448" w:rsidRPr="006645C9" w:rsidRDefault="00EC7448" w:rsidP="00EC7448">
      <w:pPr>
        <w:pStyle w:val="Default"/>
        <w:numPr>
          <w:ilvl w:val="0"/>
          <w:numId w:val="2"/>
        </w:numPr>
        <w:jc w:val="both"/>
        <w:rPr>
          <w:rFonts w:asciiTheme="majorHAnsi" w:hAnsiTheme="majorHAnsi" w:cs="Arial"/>
          <w:color w:val="auto"/>
        </w:rPr>
      </w:pPr>
      <w:r w:rsidRPr="006645C9">
        <w:rPr>
          <w:rFonts w:asciiTheme="majorHAnsi" w:hAnsiTheme="majorHAnsi" w:cs="Arial"/>
          <w:color w:val="auto"/>
        </w:rPr>
        <w:t xml:space="preserve">WOLFF-HEIDEGGER G., 1954, </w:t>
      </w:r>
      <w:r w:rsidRPr="006645C9">
        <w:rPr>
          <w:rFonts w:asciiTheme="majorHAnsi" w:hAnsiTheme="majorHAnsi" w:cs="Arial"/>
          <w:i/>
          <w:color w:val="auto"/>
        </w:rPr>
        <w:t xml:space="preserve">Atlas der </w:t>
      </w:r>
      <w:proofErr w:type="spellStart"/>
      <w:r w:rsidRPr="006645C9">
        <w:rPr>
          <w:rFonts w:asciiTheme="majorHAnsi" w:hAnsiTheme="majorHAnsi" w:cs="Arial"/>
          <w:i/>
          <w:color w:val="auto"/>
        </w:rPr>
        <w:t>Systematischen</w:t>
      </w:r>
      <w:proofErr w:type="spellEnd"/>
      <w:r w:rsidRPr="006645C9">
        <w:rPr>
          <w:rFonts w:asciiTheme="majorHAnsi" w:hAnsiTheme="majorHAnsi" w:cs="Arial"/>
          <w:i/>
          <w:color w:val="auto"/>
        </w:rPr>
        <w:t xml:space="preserve"> Anatomie des </w:t>
      </w:r>
      <w:proofErr w:type="spellStart"/>
      <w:r w:rsidRPr="006645C9">
        <w:rPr>
          <w:rFonts w:asciiTheme="majorHAnsi" w:hAnsiTheme="majorHAnsi" w:cs="Arial"/>
          <w:i/>
          <w:color w:val="auto"/>
        </w:rPr>
        <w:t>Menschen</w:t>
      </w:r>
      <w:proofErr w:type="spellEnd"/>
      <w:r w:rsidRPr="006645C9">
        <w:rPr>
          <w:rFonts w:asciiTheme="majorHAnsi" w:hAnsiTheme="majorHAnsi" w:cs="Arial"/>
          <w:color w:val="auto"/>
        </w:rPr>
        <w:t xml:space="preserve">, Band 1, </w:t>
      </w:r>
      <w:proofErr w:type="spellStart"/>
      <w:r w:rsidRPr="006645C9">
        <w:rPr>
          <w:rFonts w:asciiTheme="majorHAnsi" w:hAnsiTheme="majorHAnsi" w:cs="Arial"/>
          <w:color w:val="auto"/>
        </w:rPr>
        <w:t>Basel</w:t>
      </w:r>
      <w:proofErr w:type="spellEnd"/>
      <w:r w:rsidRPr="006645C9">
        <w:rPr>
          <w:rFonts w:asciiTheme="majorHAnsi" w:hAnsiTheme="majorHAnsi" w:cs="Arial"/>
          <w:color w:val="auto"/>
        </w:rPr>
        <w:t xml:space="preserve"> etc., S. </w:t>
      </w:r>
      <w:proofErr w:type="spellStart"/>
      <w:r w:rsidRPr="006645C9">
        <w:rPr>
          <w:rFonts w:asciiTheme="majorHAnsi" w:hAnsiTheme="majorHAnsi" w:cs="Arial"/>
          <w:color w:val="auto"/>
        </w:rPr>
        <w:t>Karger</w:t>
      </w:r>
      <w:proofErr w:type="spellEnd"/>
      <w:r w:rsidRPr="006645C9">
        <w:rPr>
          <w:rFonts w:asciiTheme="majorHAnsi" w:hAnsiTheme="majorHAnsi" w:cs="Arial"/>
          <w:color w:val="auto"/>
        </w:rPr>
        <w:t>.</w:t>
      </w:r>
    </w:p>
    <w:p w14:paraId="175FB1C9" w14:textId="77777777" w:rsidR="00EC7448" w:rsidRPr="006645C9" w:rsidRDefault="00EC7448" w:rsidP="00EC7448">
      <w:pPr>
        <w:pStyle w:val="Lijstalinea"/>
        <w:numPr>
          <w:ilvl w:val="0"/>
          <w:numId w:val="2"/>
        </w:numPr>
        <w:spacing w:after="0"/>
        <w:jc w:val="both"/>
        <w:rPr>
          <w:rFonts w:asciiTheme="majorHAnsi" w:hAnsiTheme="majorHAnsi"/>
          <w:sz w:val="24"/>
          <w:szCs w:val="24"/>
          <w:lang w:val="en-US"/>
        </w:rPr>
      </w:pPr>
      <w:r w:rsidRPr="006645C9">
        <w:rPr>
          <w:rFonts w:asciiTheme="majorHAnsi" w:hAnsiTheme="majorHAnsi" w:cs="Arial"/>
          <w:sz w:val="24"/>
          <w:szCs w:val="24"/>
          <w:lang w:val="en-US"/>
        </w:rPr>
        <w:t xml:space="preserve">Workshop of European Anthropologists (WEA), 1980, Recommendations for age and sex diagnosis of skeletons, </w:t>
      </w:r>
      <w:r w:rsidRPr="006645C9">
        <w:rPr>
          <w:rFonts w:asciiTheme="majorHAnsi" w:hAnsiTheme="majorHAnsi" w:cs="Arial"/>
          <w:i/>
          <w:iCs/>
          <w:sz w:val="24"/>
          <w:szCs w:val="24"/>
          <w:lang w:val="en-US"/>
        </w:rPr>
        <w:t xml:space="preserve">Journal of Human Evolution </w:t>
      </w:r>
      <w:r w:rsidRPr="006645C9">
        <w:rPr>
          <w:rFonts w:asciiTheme="majorHAnsi" w:hAnsiTheme="majorHAnsi" w:cs="Arial"/>
          <w:sz w:val="24"/>
          <w:szCs w:val="24"/>
          <w:lang w:val="en-US"/>
        </w:rPr>
        <w:t>9, 517-549.</w:t>
      </w:r>
    </w:p>
    <w:p w14:paraId="4D34263D" w14:textId="77777777" w:rsidR="00EC7448" w:rsidRPr="006645C9" w:rsidRDefault="00EC7448" w:rsidP="00EC7448">
      <w:pPr>
        <w:pStyle w:val="Default"/>
        <w:ind w:left="910"/>
        <w:jc w:val="both"/>
        <w:rPr>
          <w:rFonts w:asciiTheme="majorHAnsi" w:hAnsiTheme="majorHAnsi" w:cs="Arial"/>
          <w:color w:val="auto"/>
          <w:highlight w:val="yellow"/>
          <w:lang w:val="en-US"/>
        </w:rPr>
      </w:pPr>
    </w:p>
    <w:p w14:paraId="64ABD12B" w14:textId="77777777" w:rsidR="00C311C6" w:rsidRPr="00EC7448" w:rsidRDefault="00C311C6" w:rsidP="00EC7448">
      <w:pPr>
        <w:spacing w:after="0"/>
        <w:rPr>
          <w:rFonts w:ascii="Cambria" w:hAnsi="Cambria"/>
          <w:sz w:val="24"/>
          <w:lang w:val="en-US" w:eastAsia="nl-NL"/>
        </w:rPr>
      </w:pPr>
      <w:r w:rsidRPr="00EC7448">
        <w:rPr>
          <w:rFonts w:ascii="Cambria" w:hAnsi="Cambria"/>
          <w:sz w:val="24"/>
          <w:lang w:val="en-US" w:eastAsia="nl-NL"/>
        </w:rPr>
        <w:br w:type="page"/>
      </w:r>
    </w:p>
    <w:p w14:paraId="2E8444C0" w14:textId="77777777" w:rsidR="003E4A71" w:rsidRDefault="00C311C6" w:rsidP="00EC7448">
      <w:pPr>
        <w:spacing w:after="0" w:line="300" w:lineRule="auto"/>
        <w:rPr>
          <w:rFonts w:ascii="Cambria" w:hAnsi="Cambria"/>
          <w:sz w:val="24"/>
          <w:lang w:eastAsia="nl-NL"/>
        </w:rPr>
      </w:pPr>
      <w:r w:rsidRPr="00C311C6">
        <w:rPr>
          <w:rFonts w:ascii="Cambria" w:hAnsi="Cambria"/>
          <w:sz w:val="24"/>
          <w:lang w:eastAsia="nl-NL"/>
        </w:rPr>
        <w:lastRenderedPageBreak/>
        <w:t xml:space="preserve">Bijlage 2 </w:t>
      </w:r>
    </w:p>
    <w:tbl>
      <w:tblPr>
        <w:tblW w:w="8803" w:type="dxa"/>
        <w:tblInd w:w="56" w:type="dxa"/>
        <w:tblLayout w:type="fixed"/>
        <w:tblCellMar>
          <w:left w:w="70" w:type="dxa"/>
          <w:right w:w="70" w:type="dxa"/>
        </w:tblCellMar>
        <w:tblLook w:val="04A0" w:firstRow="1" w:lastRow="0" w:firstColumn="1" w:lastColumn="0" w:noHBand="0" w:noVBand="1"/>
      </w:tblPr>
      <w:tblGrid>
        <w:gridCol w:w="440"/>
        <w:gridCol w:w="567"/>
        <w:gridCol w:w="425"/>
        <w:gridCol w:w="567"/>
        <w:gridCol w:w="850"/>
        <w:gridCol w:w="709"/>
        <w:gridCol w:w="992"/>
        <w:gridCol w:w="4253"/>
      </w:tblGrid>
      <w:tr w:rsidR="000040E4" w:rsidRPr="00897639" w14:paraId="6F6B7A3D" w14:textId="77777777" w:rsidTr="002D0AEE">
        <w:trPr>
          <w:trHeight w:val="300"/>
        </w:trPr>
        <w:tc>
          <w:tcPr>
            <w:tcW w:w="440" w:type="dxa"/>
            <w:tcBorders>
              <w:top w:val="single" w:sz="4" w:space="0" w:color="auto"/>
              <w:left w:val="single" w:sz="4" w:space="0" w:color="auto"/>
              <w:bottom w:val="single" w:sz="4" w:space="0" w:color="auto"/>
              <w:right w:val="single" w:sz="4" w:space="0" w:color="auto"/>
            </w:tcBorders>
            <w:shd w:val="clear" w:color="000000" w:fill="C0C0C0"/>
            <w:noWrap/>
            <w:hideMark/>
          </w:tcPr>
          <w:p w14:paraId="234E4355"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proofErr w:type="spellStart"/>
            <w:r>
              <w:rPr>
                <w:rFonts w:asciiTheme="majorHAnsi" w:eastAsia="Times New Roman" w:hAnsiTheme="majorHAnsi"/>
                <w:color w:val="000000"/>
                <w:sz w:val="16"/>
                <w:szCs w:val="16"/>
                <w:lang w:eastAsia="nl-NL"/>
              </w:rPr>
              <w:t>Ind</w:t>
            </w:r>
            <w:proofErr w:type="spellEnd"/>
            <w:r>
              <w:rPr>
                <w:rFonts w:asciiTheme="majorHAnsi" w:eastAsia="Times New Roman" w:hAnsiTheme="majorHAnsi"/>
                <w:color w:val="000000"/>
                <w:sz w:val="16"/>
                <w:szCs w:val="16"/>
                <w:lang w:eastAsia="nl-NL"/>
              </w:rPr>
              <w:t>.</w:t>
            </w:r>
            <w:r w:rsidRPr="00897639">
              <w:rPr>
                <w:rFonts w:asciiTheme="majorHAnsi" w:eastAsia="Times New Roman" w:hAnsiTheme="majorHAnsi"/>
                <w:color w:val="000000"/>
                <w:sz w:val="16"/>
                <w:szCs w:val="16"/>
                <w:lang w:eastAsia="nl-NL"/>
              </w:rPr>
              <w:t xml:space="preserve"> </w:t>
            </w:r>
            <w:proofErr w:type="spellStart"/>
            <w:r w:rsidRPr="00897639">
              <w:rPr>
                <w:rFonts w:asciiTheme="majorHAnsi" w:eastAsia="Times New Roman" w:hAnsiTheme="majorHAnsi"/>
                <w:color w:val="000000"/>
                <w:sz w:val="16"/>
                <w:szCs w:val="16"/>
                <w:lang w:eastAsia="nl-NL"/>
              </w:rPr>
              <w:t>nr</w:t>
            </w:r>
            <w:proofErr w:type="spellEnd"/>
          </w:p>
        </w:tc>
        <w:tc>
          <w:tcPr>
            <w:tcW w:w="567" w:type="dxa"/>
            <w:tcBorders>
              <w:top w:val="single" w:sz="4" w:space="0" w:color="auto"/>
              <w:left w:val="nil"/>
              <w:bottom w:val="single" w:sz="4" w:space="0" w:color="auto"/>
              <w:right w:val="single" w:sz="4" w:space="0" w:color="auto"/>
            </w:tcBorders>
            <w:shd w:val="clear" w:color="000000" w:fill="C0C0C0"/>
            <w:noWrap/>
            <w:hideMark/>
          </w:tcPr>
          <w:p w14:paraId="0C79D598"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r w:rsidRPr="00897639">
              <w:rPr>
                <w:rFonts w:asciiTheme="majorHAnsi" w:eastAsia="Times New Roman" w:hAnsiTheme="majorHAnsi"/>
                <w:color w:val="000000"/>
                <w:sz w:val="16"/>
                <w:szCs w:val="16"/>
                <w:lang w:eastAsia="nl-NL"/>
              </w:rPr>
              <w:t>Spoor</w:t>
            </w:r>
          </w:p>
        </w:tc>
        <w:tc>
          <w:tcPr>
            <w:tcW w:w="425" w:type="dxa"/>
            <w:tcBorders>
              <w:top w:val="single" w:sz="4" w:space="0" w:color="auto"/>
              <w:left w:val="nil"/>
              <w:bottom w:val="single" w:sz="4" w:space="0" w:color="auto"/>
              <w:right w:val="single" w:sz="4" w:space="0" w:color="auto"/>
            </w:tcBorders>
            <w:shd w:val="clear" w:color="000000" w:fill="C0C0C0"/>
            <w:noWrap/>
            <w:hideMark/>
          </w:tcPr>
          <w:p w14:paraId="3903E729"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r w:rsidRPr="00897639">
              <w:rPr>
                <w:rFonts w:asciiTheme="majorHAnsi" w:eastAsia="Times New Roman" w:hAnsiTheme="majorHAnsi"/>
                <w:color w:val="000000"/>
                <w:sz w:val="16"/>
                <w:szCs w:val="16"/>
                <w:lang w:eastAsia="nl-NL"/>
              </w:rPr>
              <w:t>Put</w:t>
            </w:r>
          </w:p>
        </w:tc>
        <w:tc>
          <w:tcPr>
            <w:tcW w:w="567" w:type="dxa"/>
            <w:tcBorders>
              <w:top w:val="single" w:sz="4" w:space="0" w:color="auto"/>
              <w:left w:val="nil"/>
              <w:bottom w:val="single" w:sz="4" w:space="0" w:color="auto"/>
              <w:right w:val="single" w:sz="4" w:space="0" w:color="auto"/>
            </w:tcBorders>
            <w:shd w:val="clear" w:color="000000" w:fill="C0C0C0"/>
            <w:noWrap/>
            <w:hideMark/>
          </w:tcPr>
          <w:p w14:paraId="65C7D98C"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r w:rsidRPr="00897639">
              <w:rPr>
                <w:rFonts w:asciiTheme="majorHAnsi" w:eastAsia="Times New Roman" w:hAnsiTheme="majorHAnsi"/>
                <w:color w:val="000000"/>
                <w:sz w:val="16"/>
                <w:szCs w:val="16"/>
                <w:lang w:eastAsia="nl-NL"/>
              </w:rPr>
              <w:t>Vlak</w:t>
            </w:r>
          </w:p>
        </w:tc>
        <w:tc>
          <w:tcPr>
            <w:tcW w:w="850" w:type="dxa"/>
            <w:tcBorders>
              <w:top w:val="single" w:sz="4" w:space="0" w:color="auto"/>
              <w:left w:val="nil"/>
              <w:bottom w:val="single" w:sz="4" w:space="0" w:color="auto"/>
              <w:right w:val="single" w:sz="4" w:space="0" w:color="auto"/>
            </w:tcBorders>
            <w:shd w:val="clear" w:color="000000" w:fill="C0C0C0"/>
            <w:noWrap/>
            <w:hideMark/>
          </w:tcPr>
          <w:p w14:paraId="5B358519"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r w:rsidRPr="00897639">
              <w:rPr>
                <w:rFonts w:asciiTheme="majorHAnsi" w:eastAsia="Times New Roman" w:hAnsiTheme="majorHAnsi"/>
                <w:color w:val="000000"/>
                <w:sz w:val="16"/>
                <w:szCs w:val="16"/>
                <w:lang w:eastAsia="nl-NL"/>
              </w:rPr>
              <w:t xml:space="preserve">Geslacht </w:t>
            </w:r>
          </w:p>
        </w:tc>
        <w:tc>
          <w:tcPr>
            <w:tcW w:w="709" w:type="dxa"/>
            <w:tcBorders>
              <w:top w:val="single" w:sz="4" w:space="0" w:color="auto"/>
              <w:left w:val="nil"/>
              <w:bottom w:val="single" w:sz="4" w:space="0" w:color="auto"/>
              <w:right w:val="single" w:sz="4" w:space="0" w:color="auto"/>
            </w:tcBorders>
            <w:shd w:val="clear" w:color="000000" w:fill="C0C0C0"/>
            <w:noWrap/>
            <w:hideMark/>
          </w:tcPr>
          <w:p w14:paraId="2F40007A"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r w:rsidRPr="00897639">
              <w:rPr>
                <w:rFonts w:asciiTheme="majorHAnsi" w:eastAsia="Times New Roman" w:hAnsiTheme="majorHAnsi"/>
                <w:color w:val="000000"/>
                <w:sz w:val="16"/>
                <w:szCs w:val="16"/>
                <w:lang w:eastAsia="nl-NL"/>
              </w:rPr>
              <w:t xml:space="preserve">Leeftijd </w:t>
            </w:r>
            <w:r>
              <w:rPr>
                <w:rFonts w:asciiTheme="majorHAnsi" w:eastAsia="Times New Roman" w:hAnsiTheme="majorHAnsi"/>
                <w:color w:val="000000"/>
                <w:sz w:val="16"/>
                <w:szCs w:val="16"/>
                <w:lang w:eastAsia="nl-NL"/>
              </w:rPr>
              <w:t>(jaar)</w:t>
            </w:r>
          </w:p>
        </w:tc>
        <w:tc>
          <w:tcPr>
            <w:tcW w:w="992" w:type="dxa"/>
            <w:tcBorders>
              <w:top w:val="single" w:sz="4" w:space="0" w:color="auto"/>
              <w:left w:val="nil"/>
              <w:bottom w:val="single" w:sz="4" w:space="0" w:color="auto"/>
              <w:right w:val="single" w:sz="4" w:space="0" w:color="auto"/>
            </w:tcBorders>
            <w:shd w:val="clear" w:color="000000" w:fill="C0C0C0"/>
            <w:noWrap/>
            <w:hideMark/>
          </w:tcPr>
          <w:p w14:paraId="455F0D7B" w14:textId="7B7E1F4F"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L</w:t>
            </w:r>
            <w:r w:rsidRPr="00897639">
              <w:rPr>
                <w:rFonts w:asciiTheme="majorHAnsi" w:eastAsia="Times New Roman" w:hAnsiTheme="majorHAnsi"/>
                <w:color w:val="000000"/>
                <w:sz w:val="16"/>
                <w:szCs w:val="16"/>
                <w:lang w:eastAsia="nl-NL"/>
              </w:rPr>
              <w:t xml:space="preserve">engte </w:t>
            </w:r>
            <w:proofErr w:type="spellStart"/>
            <w:r w:rsidRPr="00897639">
              <w:rPr>
                <w:rFonts w:asciiTheme="majorHAnsi" w:eastAsia="Times New Roman" w:hAnsiTheme="majorHAnsi"/>
                <w:color w:val="000000"/>
                <w:sz w:val="16"/>
                <w:szCs w:val="16"/>
                <w:lang w:eastAsia="nl-NL"/>
              </w:rPr>
              <w:t>Trotter</w:t>
            </w:r>
            <w:proofErr w:type="spellEnd"/>
            <w:r>
              <w:rPr>
                <w:rFonts w:asciiTheme="majorHAnsi" w:eastAsia="Times New Roman" w:hAnsiTheme="majorHAnsi"/>
                <w:color w:val="000000"/>
                <w:sz w:val="16"/>
                <w:szCs w:val="16"/>
                <w:lang w:eastAsia="nl-NL"/>
              </w:rPr>
              <w:t xml:space="preserve"> </w:t>
            </w:r>
            <w:r w:rsidR="002D0AEE">
              <w:rPr>
                <w:rFonts w:asciiTheme="majorHAnsi" w:eastAsia="Times New Roman" w:hAnsiTheme="majorHAnsi"/>
                <w:color w:val="000000"/>
                <w:sz w:val="16"/>
                <w:szCs w:val="16"/>
                <w:lang w:eastAsia="nl-NL"/>
              </w:rPr>
              <w:t>(m</w:t>
            </w:r>
            <w:r>
              <w:rPr>
                <w:rFonts w:asciiTheme="majorHAnsi" w:eastAsia="Times New Roman" w:hAnsiTheme="majorHAnsi"/>
                <w:color w:val="000000"/>
                <w:sz w:val="16"/>
                <w:szCs w:val="16"/>
                <w:lang w:eastAsia="nl-NL"/>
              </w:rPr>
              <w:t>)</w:t>
            </w:r>
          </w:p>
        </w:tc>
        <w:tc>
          <w:tcPr>
            <w:tcW w:w="4253" w:type="dxa"/>
            <w:tcBorders>
              <w:top w:val="single" w:sz="4" w:space="0" w:color="auto"/>
              <w:left w:val="nil"/>
              <w:bottom w:val="single" w:sz="4" w:space="0" w:color="auto"/>
              <w:right w:val="single" w:sz="4" w:space="0" w:color="auto"/>
            </w:tcBorders>
            <w:shd w:val="clear" w:color="000000" w:fill="C0C0C0"/>
            <w:noWrap/>
            <w:hideMark/>
          </w:tcPr>
          <w:p w14:paraId="6A94F442"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Ziekteverschijnselen</w:t>
            </w:r>
          </w:p>
        </w:tc>
      </w:tr>
      <w:tr w:rsidR="000040E4" w:rsidRPr="00897639" w14:paraId="6403248F" w14:textId="77777777" w:rsidTr="002D0AEE">
        <w:trPr>
          <w:trHeight w:val="300"/>
        </w:trPr>
        <w:tc>
          <w:tcPr>
            <w:tcW w:w="440" w:type="dxa"/>
            <w:tcBorders>
              <w:top w:val="nil"/>
              <w:left w:val="single" w:sz="4" w:space="0" w:color="auto"/>
              <w:bottom w:val="single" w:sz="4" w:space="0" w:color="auto"/>
              <w:right w:val="single" w:sz="4" w:space="0" w:color="auto"/>
            </w:tcBorders>
            <w:shd w:val="clear" w:color="auto" w:fill="auto"/>
            <w:noWrap/>
            <w:hideMark/>
          </w:tcPr>
          <w:p w14:paraId="093D7671"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r w:rsidRPr="00897639">
              <w:rPr>
                <w:rFonts w:asciiTheme="majorHAnsi" w:eastAsia="Times New Roman" w:hAnsiTheme="majorHAnsi"/>
                <w:color w:val="000000"/>
                <w:sz w:val="16"/>
                <w:szCs w:val="16"/>
                <w:lang w:eastAsia="nl-NL"/>
              </w:rPr>
              <w:t>1</w:t>
            </w:r>
          </w:p>
        </w:tc>
        <w:tc>
          <w:tcPr>
            <w:tcW w:w="567" w:type="dxa"/>
            <w:tcBorders>
              <w:top w:val="nil"/>
              <w:left w:val="nil"/>
              <w:bottom w:val="single" w:sz="4" w:space="0" w:color="auto"/>
              <w:right w:val="single" w:sz="4" w:space="0" w:color="auto"/>
            </w:tcBorders>
            <w:shd w:val="clear" w:color="auto" w:fill="auto"/>
            <w:noWrap/>
            <w:hideMark/>
          </w:tcPr>
          <w:p w14:paraId="15F57F55" w14:textId="7260F5F6"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38</w:t>
            </w:r>
          </w:p>
        </w:tc>
        <w:tc>
          <w:tcPr>
            <w:tcW w:w="425" w:type="dxa"/>
            <w:tcBorders>
              <w:top w:val="nil"/>
              <w:left w:val="nil"/>
              <w:bottom w:val="single" w:sz="4" w:space="0" w:color="auto"/>
              <w:right w:val="single" w:sz="4" w:space="0" w:color="auto"/>
            </w:tcBorders>
            <w:shd w:val="clear" w:color="auto" w:fill="auto"/>
            <w:noWrap/>
            <w:hideMark/>
          </w:tcPr>
          <w:p w14:paraId="06228ECA" w14:textId="48320A85"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1</w:t>
            </w:r>
          </w:p>
        </w:tc>
        <w:tc>
          <w:tcPr>
            <w:tcW w:w="567" w:type="dxa"/>
            <w:tcBorders>
              <w:top w:val="nil"/>
              <w:left w:val="nil"/>
              <w:bottom w:val="single" w:sz="4" w:space="0" w:color="auto"/>
              <w:right w:val="single" w:sz="4" w:space="0" w:color="auto"/>
            </w:tcBorders>
            <w:shd w:val="clear" w:color="auto" w:fill="auto"/>
            <w:noWrap/>
            <w:hideMark/>
          </w:tcPr>
          <w:p w14:paraId="76CC839E" w14:textId="12120D26"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2</w:t>
            </w:r>
          </w:p>
        </w:tc>
        <w:tc>
          <w:tcPr>
            <w:tcW w:w="850" w:type="dxa"/>
            <w:tcBorders>
              <w:top w:val="nil"/>
              <w:left w:val="nil"/>
              <w:bottom w:val="single" w:sz="4" w:space="0" w:color="auto"/>
              <w:right w:val="single" w:sz="4" w:space="0" w:color="auto"/>
            </w:tcBorders>
            <w:shd w:val="clear" w:color="auto" w:fill="auto"/>
            <w:noWrap/>
            <w:hideMark/>
          </w:tcPr>
          <w:p w14:paraId="66CB1802"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man</w:t>
            </w:r>
          </w:p>
        </w:tc>
        <w:tc>
          <w:tcPr>
            <w:tcW w:w="709" w:type="dxa"/>
            <w:tcBorders>
              <w:top w:val="nil"/>
              <w:left w:val="nil"/>
              <w:bottom w:val="single" w:sz="4" w:space="0" w:color="auto"/>
              <w:right w:val="single" w:sz="4" w:space="0" w:color="auto"/>
            </w:tcBorders>
            <w:shd w:val="clear" w:color="auto" w:fill="auto"/>
            <w:noWrap/>
            <w:hideMark/>
          </w:tcPr>
          <w:p w14:paraId="1864E77C" w14:textId="09871C40"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38-56</w:t>
            </w:r>
          </w:p>
        </w:tc>
        <w:tc>
          <w:tcPr>
            <w:tcW w:w="992" w:type="dxa"/>
            <w:tcBorders>
              <w:top w:val="nil"/>
              <w:left w:val="nil"/>
              <w:bottom w:val="single" w:sz="4" w:space="0" w:color="auto"/>
              <w:right w:val="single" w:sz="4" w:space="0" w:color="auto"/>
            </w:tcBorders>
            <w:shd w:val="clear" w:color="auto" w:fill="auto"/>
            <w:noWrap/>
            <w:hideMark/>
          </w:tcPr>
          <w:p w14:paraId="721142F5" w14:textId="5EA464F9" w:rsidR="000040E4" w:rsidRPr="00897639" w:rsidRDefault="000040E4" w:rsidP="00EC7448">
            <w:pPr>
              <w:spacing w:after="0" w:line="240" w:lineRule="auto"/>
              <w:rPr>
                <w:rFonts w:asciiTheme="majorHAnsi" w:eastAsia="Times New Roman" w:hAnsiTheme="majorHAnsi" w:cs="Arial"/>
                <w:color w:val="000000"/>
                <w:sz w:val="16"/>
                <w:szCs w:val="16"/>
                <w:lang w:eastAsia="nl-NL"/>
              </w:rPr>
            </w:pPr>
            <w:r>
              <w:rPr>
                <w:rFonts w:asciiTheme="majorHAnsi" w:eastAsia="Times New Roman" w:hAnsiTheme="majorHAnsi" w:cs="Arial"/>
                <w:color w:val="000000"/>
                <w:sz w:val="16"/>
                <w:szCs w:val="16"/>
                <w:lang w:eastAsia="nl-NL"/>
              </w:rPr>
              <w:t>170,55</w:t>
            </w:r>
          </w:p>
        </w:tc>
        <w:tc>
          <w:tcPr>
            <w:tcW w:w="4253" w:type="dxa"/>
            <w:tcBorders>
              <w:top w:val="nil"/>
              <w:left w:val="nil"/>
              <w:bottom w:val="single" w:sz="4" w:space="0" w:color="auto"/>
              <w:right w:val="single" w:sz="4" w:space="0" w:color="auto"/>
            </w:tcBorders>
            <w:shd w:val="clear" w:color="auto" w:fill="auto"/>
            <w:noWrap/>
            <w:hideMark/>
          </w:tcPr>
          <w:p w14:paraId="1B4292B7" w14:textId="7B0D063F" w:rsidR="000040E4" w:rsidRPr="00897639" w:rsidRDefault="000040E4" w:rsidP="00EC7448">
            <w:pPr>
              <w:spacing w:after="0" w:line="240" w:lineRule="auto"/>
              <w:rPr>
                <w:rFonts w:asciiTheme="majorHAnsi" w:eastAsia="Times New Roman" w:hAnsiTheme="majorHAnsi"/>
                <w:color w:val="000000"/>
                <w:sz w:val="16"/>
                <w:szCs w:val="16"/>
                <w:lang w:eastAsia="nl-NL"/>
              </w:rPr>
            </w:pPr>
            <w:r w:rsidRPr="00DD66EB">
              <w:rPr>
                <w:rFonts w:asciiTheme="majorHAnsi" w:eastAsia="Times New Roman" w:hAnsiTheme="majorHAnsi"/>
                <w:color w:val="000000"/>
                <w:sz w:val="16"/>
                <w:szCs w:val="16"/>
                <w:lang w:eastAsia="nl-NL"/>
              </w:rPr>
              <w:t>zeer veel tandsteen</w:t>
            </w:r>
            <w:r>
              <w:rPr>
                <w:rFonts w:asciiTheme="majorHAnsi" w:eastAsia="Times New Roman" w:hAnsiTheme="majorHAnsi"/>
                <w:color w:val="000000"/>
                <w:sz w:val="16"/>
                <w:szCs w:val="16"/>
                <w:lang w:eastAsia="nl-NL"/>
              </w:rPr>
              <w:t>, enkel</w:t>
            </w:r>
            <w:r w:rsidRPr="00DD66EB">
              <w:rPr>
                <w:rFonts w:asciiTheme="majorHAnsi" w:eastAsia="Times New Roman" w:hAnsiTheme="majorHAnsi"/>
                <w:color w:val="000000"/>
                <w:sz w:val="16"/>
                <w:szCs w:val="16"/>
                <w:lang w:eastAsia="nl-NL"/>
              </w:rPr>
              <w:t xml:space="preserve"> aan </w:t>
            </w:r>
            <w:r>
              <w:rPr>
                <w:rFonts w:asciiTheme="majorHAnsi" w:eastAsia="Times New Roman" w:hAnsiTheme="majorHAnsi"/>
                <w:color w:val="000000"/>
                <w:sz w:val="16"/>
                <w:szCs w:val="16"/>
                <w:lang w:eastAsia="nl-NL"/>
              </w:rPr>
              <w:t xml:space="preserve">de </w:t>
            </w:r>
            <w:r w:rsidRPr="00DD66EB">
              <w:rPr>
                <w:rFonts w:asciiTheme="majorHAnsi" w:eastAsia="Times New Roman" w:hAnsiTheme="majorHAnsi"/>
                <w:color w:val="000000"/>
                <w:sz w:val="16"/>
                <w:szCs w:val="16"/>
                <w:lang w:eastAsia="nl-NL"/>
              </w:rPr>
              <w:t>rechter zijde</w:t>
            </w:r>
            <w:r>
              <w:rPr>
                <w:rFonts w:asciiTheme="majorHAnsi" w:eastAsia="Times New Roman" w:hAnsiTheme="majorHAnsi"/>
                <w:color w:val="000000"/>
                <w:sz w:val="16"/>
                <w:szCs w:val="16"/>
                <w:lang w:eastAsia="nl-NL"/>
              </w:rPr>
              <w:t>:</w:t>
            </w:r>
            <w:r w:rsidRPr="00DD66EB">
              <w:rPr>
                <w:rFonts w:asciiTheme="majorHAnsi" w:eastAsia="Times New Roman" w:hAnsiTheme="majorHAnsi"/>
                <w:color w:val="000000"/>
                <w:sz w:val="16"/>
                <w:szCs w:val="16"/>
                <w:lang w:eastAsia="nl-NL"/>
              </w:rPr>
              <w:t xml:space="preserve"> verm</w:t>
            </w:r>
            <w:r>
              <w:rPr>
                <w:rFonts w:asciiTheme="majorHAnsi" w:eastAsia="Times New Roman" w:hAnsiTheme="majorHAnsi"/>
                <w:color w:val="000000"/>
                <w:sz w:val="16"/>
                <w:szCs w:val="16"/>
                <w:lang w:eastAsia="nl-NL"/>
              </w:rPr>
              <w:t>oedelijk</w:t>
            </w:r>
            <w:r w:rsidRPr="00DD66EB">
              <w:rPr>
                <w:rFonts w:asciiTheme="majorHAnsi" w:eastAsia="Times New Roman" w:hAnsiTheme="majorHAnsi"/>
                <w:color w:val="000000"/>
                <w:sz w:val="16"/>
                <w:szCs w:val="16"/>
                <w:lang w:eastAsia="nl-NL"/>
              </w:rPr>
              <w:t xml:space="preserve"> verlamd geweest </w:t>
            </w:r>
            <w:r>
              <w:rPr>
                <w:rFonts w:asciiTheme="majorHAnsi" w:eastAsia="Times New Roman" w:hAnsiTheme="majorHAnsi"/>
                <w:color w:val="000000"/>
                <w:sz w:val="16"/>
                <w:szCs w:val="16"/>
                <w:lang w:eastAsia="nl-NL"/>
              </w:rPr>
              <w:t xml:space="preserve">in de </w:t>
            </w:r>
            <w:r w:rsidRPr="00DD66EB">
              <w:rPr>
                <w:rFonts w:asciiTheme="majorHAnsi" w:eastAsia="Times New Roman" w:hAnsiTheme="majorHAnsi"/>
                <w:color w:val="000000"/>
                <w:sz w:val="16"/>
                <w:szCs w:val="16"/>
                <w:lang w:eastAsia="nl-NL"/>
              </w:rPr>
              <w:t>r</w:t>
            </w:r>
            <w:r>
              <w:rPr>
                <w:rFonts w:asciiTheme="majorHAnsi" w:eastAsia="Times New Roman" w:hAnsiTheme="majorHAnsi"/>
                <w:color w:val="000000"/>
                <w:sz w:val="16"/>
                <w:szCs w:val="16"/>
                <w:lang w:eastAsia="nl-NL"/>
              </w:rPr>
              <w:t>echter</w:t>
            </w:r>
            <w:r w:rsidRPr="00DD66EB">
              <w:rPr>
                <w:rFonts w:asciiTheme="majorHAnsi" w:eastAsia="Times New Roman" w:hAnsiTheme="majorHAnsi"/>
                <w:color w:val="000000"/>
                <w:sz w:val="16"/>
                <w:szCs w:val="16"/>
                <w:lang w:eastAsia="nl-NL"/>
              </w:rPr>
              <w:t xml:space="preserve"> wang</w:t>
            </w:r>
          </w:p>
        </w:tc>
      </w:tr>
      <w:tr w:rsidR="000040E4" w:rsidRPr="00897639" w14:paraId="68CA06E1" w14:textId="77777777" w:rsidTr="002D0AEE">
        <w:trPr>
          <w:trHeight w:val="300"/>
        </w:trPr>
        <w:tc>
          <w:tcPr>
            <w:tcW w:w="440" w:type="dxa"/>
            <w:tcBorders>
              <w:top w:val="nil"/>
              <w:left w:val="single" w:sz="4" w:space="0" w:color="auto"/>
              <w:bottom w:val="single" w:sz="4" w:space="0" w:color="auto"/>
              <w:right w:val="single" w:sz="4" w:space="0" w:color="auto"/>
            </w:tcBorders>
            <w:shd w:val="clear" w:color="auto" w:fill="auto"/>
            <w:noWrap/>
            <w:hideMark/>
          </w:tcPr>
          <w:p w14:paraId="679E76FC" w14:textId="77777777" w:rsidR="000040E4" w:rsidRPr="00897639" w:rsidRDefault="000040E4" w:rsidP="00EC7448">
            <w:pPr>
              <w:spacing w:after="0" w:line="240" w:lineRule="auto"/>
              <w:rPr>
                <w:rFonts w:asciiTheme="majorHAnsi" w:eastAsia="Times New Roman" w:hAnsiTheme="majorHAnsi"/>
                <w:color w:val="000000"/>
                <w:sz w:val="16"/>
                <w:szCs w:val="16"/>
                <w:lang w:eastAsia="nl-NL"/>
              </w:rPr>
            </w:pPr>
            <w:r w:rsidRPr="00897639">
              <w:rPr>
                <w:rFonts w:asciiTheme="majorHAnsi" w:eastAsia="Times New Roman" w:hAnsiTheme="majorHAnsi"/>
                <w:color w:val="000000"/>
                <w:sz w:val="16"/>
                <w:szCs w:val="16"/>
                <w:lang w:eastAsia="nl-NL"/>
              </w:rPr>
              <w:t>2</w:t>
            </w:r>
          </w:p>
        </w:tc>
        <w:tc>
          <w:tcPr>
            <w:tcW w:w="567" w:type="dxa"/>
            <w:tcBorders>
              <w:top w:val="nil"/>
              <w:left w:val="nil"/>
              <w:bottom w:val="single" w:sz="4" w:space="0" w:color="auto"/>
              <w:right w:val="single" w:sz="4" w:space="0" w:color="auto"/>
            </w:tcBorders>
            <w:shd w:val="clear" w:color="auto" w:fill="auto"/>
            <w:noWrap/>
            <w:hideMark/>
          </w:tcPr>
          <w:p w14:paraId="4547971C" w14:textId="228E969E"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80</w:t>
            </w:r>
          </w:p>
        </w:tc>
        <w:tc>
          <w:tcPr>
            <w:tcW w:w="425" w:type="dxa"/>
            <w:tcBorders>
              <w:top w:val="nil"/>
              <w:left w:val="nil"/>
              <w:bottom w:val="single" w:sz="4" w:space="0" w:color="auto"/>
              <w:right w:val="single" w:sz="4" w:space="0" w:color="auto"/>
            </w:tcBorders>
            <w:shd w:val="clear" w:color="auto" w:fill="auto"/>
            <w:noWrap/>
            <w:hideMark/>
          </w:tcPr>
          <w:p w14:paraId="667CE6C9" w14:textId="32E054CD"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1</w:t>
            </w:r>
          </w:p>
        </w:tc>
        <w:tc>
          <w:tcPr>
            <w:tcW w:w="567" w:type="dxa"/>
            <w:tcBorders>
              <w:top w:val="nil"/>
              <w:left w:val="nil"/>
              <w:bottom w:val="single" w:sz="4" w:space="0" w:color="auto"/>
              <w:right w:val="single" w:sz="4" w:space="0" w:color="auto"/>
            </w:tcBorders>
            <w:shd w:val="clear" w:color="auto" w:fill="auto"/>
            <w:noWrap/>
            <w:hideMark/>
          </w:tcPr>
          <w:p w14:paraId="60AE9026" w14:textId="6CD2959F"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4</w:t>
            </w:r>
          </w:p>
        </w:tc>
        <w:tc>
          <w:tcPr>
            <w:tcW w:w="850" w:type="dxa"/>
            <w:tcBorders>
              <w:top w:val="nil"/>
              <w:left w:val="nil"/>
              <w:bottom w:val="single" w:sz="4" w:space="0" w:color="auto"/>
              <w:right w:val="single" w:sz="4" w:space="0" w:color="auto"/>
            </w:tcBorders>
            <w:shd w:val="clear" w:color="auto" w:fill="auto"/>
            <w:noWrap/>
            <w:hideMark/>
          </w:tcPr>
          <w:p w14:paraId="6CAC260C" w14:textId="77777777" w:rsidR="000040E4" w:rsidRPr="00897639" w:rsidRDefault="000040E4" w:rsidP="00DD66EB">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man</w:t>
            </w:r>
          </w:p>
        </w:tc>
        <w:tc>
          <w:tcPr>
            <w:tcW w:w="709" w:type="dxa"/>
            <w:tcBorders>
              <w:top w:val="nil"/>
              <w:left w:val="nil"/>
              <w:bottom w:val="single" w:sz="4" w:space="0" w:color="auto"/>
              <w:right w:val="single" w:sz="4" w:space="0" w:color="auto"/>
            </w:tcBorders>
            <w:shd w:val="clear" w:color="auto" w:fill="auto"/>
            <w:noWrap/>
            <w:hideMark/>
          </w:tcPr>
          <w:p w14:paraId="233C970B" w14:textId="3D3AB167"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40-80</w:t>
            </w:r>
          </w:p>
        </w:tc>
        <w:tc>
          <w:tcPr>
            <w:tcW w:w="992" w:type="dxa"/>
            <w:tcBorders>
              <w:top w:val="nil"/>
              <w:left w:val="nil"/>
              <w:bottom w:val="single" w:sz="4" w:space="0" w:color="auto"/>
              <w:right w:val="single" w:sz="4" w:space="0" w:color="auto"/>
            </w:tcBorders>
            <w:shd w:val="clear" w:color="auto" w:fill="auto"/>
            <w:noWrap/>
            <w:hideMark/>
          </w:tcPr>
          <w:p w14:paraId="667B3E10" w14:textId="0FB4A373" w:rsidR="000040E4" w:rsidRPr="00897639" w:rsidRDefault="000040E4" w:rsidP="00EC7448">
            <w:pPr>
              <w:spacing w:after="0" w:line="240" w:lineRule="auto"/>
              <w:rPr>
                <w:rFonts w:asciiTheme="majorHAnsi" w:eastAsia="Times New Roman" w:hAnsiTheme="majorHAnsi"/>
                <w:color w:val="000000"/>
                <w:sz w:val="16"/>
                <w:szCs w:val="16"/>
                <w:lang w:eastAsia="nl-NL"/>
              </w:rPr>
            </w:pPr>
          </w:p>
        </w:tc>
        <w:tc>
          <w:tcPr>
            <w:tcW w:w="4253" w:type="dxa"/>
            <w:tcBorders>
              <w:top w:val="nil"/>
              <w:left w:val="nil"/>
              <w:bottom w:val="single" w:sz="4" w:space="0" w:color="auto"/>
              <w:right w:val="single" w:sz="4" w:space="0" w:color="auto"/>
            </w:tcBorders>
            <w:shd w:val="clear" w:color="auto" w:fill="auto"/>
            <w:noWrap/>
            <w:hideMark/>
          </w:tcPr>
          <w:p w14:paraId="2108C714" w14:textId="34C9F939" w:rsidR="000040E4" w:rsidRPr="00897639" w:rsidRDefault="000040E4" w:rsidP="00EC7448">
            <w:pPr>
              <w:spacing w:after="0" w:line="240" w:lineRule="auto"/>
              <w:rPr>
                <w:rFonts w:asciiTheme="majorHAnsi" w:eastAsia="Times New Roman" w:hAnsiTheme="majorHAnsi"/>
                <w:color w:val="000000"/>
                <w:sz w:val="16"/>
                <w:szCs w:val="16"/>
                <w:lang w:eastAsia="nl-NL"/>
              </w:rPr>
            </w:pPr>
            <w:r>
              <w:rPr>
                <w:rFonts w:asciiTheme="majorHAnsi" w:eastAsia="Times New Roman" w:hAnsiTheme="majorHAnsi"/>
                <w:color w:val="000000"/>
                <w:sz w:val="16"/>
                <w:szCs w:val="16"/>
                <w:lang w:eastAsia="nl-NL"/>
              </w:rPr>
              <w:t>Artrose halswervellichamen, geheelde ribbreuk (4</w:t>
            </w:r>
            <w:r w:rsidRPr="000040E4">
              <w:rPr>
                <w:rFonts w:asciiTheme="majorHAnsi" w:eastAsia="Times New Roman" w:hAnsiTheme="majorHAnsi"/>
                <w:color w:val="000000"/>
                <w:sz w:val="16"/>
                <w:szCs w:val="16"/>
                <w:vertAlign w:val="superscript"/>
                <w:lang w:eastAsia="nl-NL"/>
              </w:rPr>
              <w:t>e</w:t>
            </w:r>
            <w:r>
              <w:rPr>
                <w:rFonts w:asciiTheme="majorHAnsi" w:eastAsia="Times New Roman" w:hAnsiTheme="majorHAnsi"/>
                <w:color w:val="000000"/>
                <w:sz w:val="16"/>
                <w:szCs w:val="16"/>
                <w:lang w:eastAsia="nl-NL"/>
              </w:rPr>
              <w:t xml:space="preserve"> rechts) en ontstoken gehemelte</w:t>
            </w:r>
          </w:p>
        </w:tc>
      </w:tr>
    </w:tbl>
    <w:p w14:paraId="48A3A1C2" w14:textId="77777777" w:rsidR="00A51E67" w:rsidRPr="00C311C6" w:rsidRDefault="00A51E67" w:rsidP="00EC7448">
      <w:pPr>
        <w:spacing w:after="0" w:line="300" w:lineRule="auto"/>
        <w:rPr>
          <w:rFonts w:ascii="Cambria" w:hAnsi="Cambria"/>
          <w:sz w:val="24"/>
          <w:lang w:eastAsia="nl-NL"/>
        </w:rPr>
      </w:pPr>
    </w:p>
    <w:sectPr w:rsidR="00A51E67" w:rsidRPr="00C311C6" w:rsidSect="001A135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69707" w14:textId="77777777" w:rsidR="00330A01" w:rsidRDefault="00330A01" w:rsidP="005535F3">
      <w:pPr>
        <w:spacing w:after="0" w:line="240" w:lineRule="auto"/>
      </w:pPr>
      <w:r>
        <w:separator/>
      </w:r>
    </w:p>
  </w:endnote>
  <w:endnote w:type="continuationSeparator" w:id="0">
    <w:p w14:paraId="533F9422" w14:textId="77777777" w:rsidR="00330A01" w:rsidRDefault="00330A01" w:rsidP="00553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39C62" w14:textId="77777777" w:rsidR="00330A01" w:rsidRDefault="00330A01" w:rsidP="005535F3">
      <w:pPr>
        <w:spacing w:after="0" w:line="240" w:lineRule="auto"/>
      </w:pPr>
      <w:r>
        <w:separator/>
      </w:r>
    </w:p>
  </w:footnote>
  <w:footnote w:type="continuationSeparator" w:id="0">
    <w:p w14:paraId="76DF281D" w14:textId="77777777" w:rsidR="00330A01" w:rsidRDefault="00330A01" w:rsidP="005535F3">
      <w:pPr>
        <w:spacing w:after="0" w:line="240" w:lineRule="auto"/>
      </w:pPr>
      <w:r>
        <w:continuationSeparator/>
      </w:r>
    </w:p>
  </w:footnote>
  <w:footnote w:id="1">
    <w:p w14:paraId="16A30932" w14:textId="77777777" w:rsidR="00356640" w:rsidRPr="00EE42A9" w:rsidRDefault="00356640" w:rsidP="00EC7448">
      <w:pPr>
        <w:pStyle w:val="Voetnoottekst"/>
        <w:spacing w:after="0"/>
        <w:rPr>
          <w:rFonts w:asciiTheme="majorHAnsi" w:hAnsiTheme="majorHAnsi"/>
          <w:sz w:val="16"/>
          <w:szCs w:val="16"/>
          <w:lang w:val="en-US"/>
        </w:rPr>
      </w:pPr>
      <w:r w:rsidRPr="00EE42A9">
        <w:rPr>
          <w:rStyle w:val="Voetnootmarkering"/>
          <w:rFonts w:asciiTheme="majorHAnsi" w:hAnsiTheme="majorHAnsi"/>
          <w:sz w:val="16"/>
          <w:szCs w:val="16"/>
        </w:rPr>
        <w:footnoteRef/>
      </w:r>
      <w:r w:rsidRPr="00EE42A9">
        <w:rPr>
          <w:rFonts w:asciiTheme="majorHAnsi" w:hAnsiTheme="majorHAnsi"/>
          <w:sz w:val="16"/>
          <w:szCs w:val="16"/>
          <w:lang w:val="en-US"/>
        </w:rPr>
        <w:t xml:space="preserve"> </w:t>
      </w:r>
      <w:r w:rsidRPr="00EE42A9">
        <w:rPr>
          <w:rFonts w:asciiTheme="majorHAnsi" w:hAnsiTheme="majorHAnsi" w:cs="Arial"/>
          <w:sz w:val="16"/>
          <w:szCs w:val="16"/>
          <w:lang w:val="en-US"/>
        </w:rPr>
        <w:t>WORKSHOP OF EUROPEAN ANTHROPOLOGISTS (WEA), 1980, pp. 517-549.</w:t>
      </w:r>
    </w:p>
  </w:footnote>
  <w:footnote w:id="2">
    <w:p w14:paraId="07A47F56"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t>Maat &amp; Mastwijk 2005.</w:t>
      </w:r>
    </w:p>
  </w:footnote>
  <w:footnote w:id="3">
    <w:p w14:paraId="4CB5B43F" w14:textId="77777777" w:rsidR="00356640" w:rsidRDefault="00356640" w:rsidP="00EC7448">
      <w:pPr>
        <w:pStyle w:val="Voetnoottekst"/>
        <w:spacing w:after="0"/>
      </w:pPr>
      <w:r>
        <w:rPr>
          <w:rStyle w:val="Voetnootmarkering"/>
        </w:rPr>
        <w:footnoteRef/>
      </w:r>
      <w:r>
        <w:t xml:space="preserve">  </w:t>
      </w:r>
      <w:r>
        <w:tab/>
        <w:t>SCHUTKOWSKI 1993, SCHUTKOWSKI 1987.</w:t>
      </w:r>
    </w:p>
  </w:footnote>
  <w:footnote w:id="4">
    <w:p w14:paraId="71D0C2F4"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Ubelaker</w:t>
      </w:r>
      <w:proofErr w:type="spellEnd"/>
      <w:r w:rsidRPr="006645C9">
        <w:rPr>
          <w:rFonts w:asciiTheme="majorHAnsi" w:hAnsiTheme="majorHAnsi" w:cstheme="minorHAnsi"/>
        </w:rPr>
        <w:t xml:space="preserve"> 1978; WEA 1980.</w:t>
      </w:r>
    </w:p>
  </w:footnote>
  <w:footnote w:id="5">
    <w:p w14:paraId="70D40452"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t xml:space="preserve">Maat &amp; Mastwijk 1995; </w:t>
      </w:r>
      <w:proofErr w:type="spellStart"/>
      <w:r w:rsidRPr="006645C9">
        <w:rPr>
          <w:rFonts w:asciiTheme="majorHAnsi" w:hAnsiTheme="majorHAnsi" w:cstheme="minorHAnsi"/>
        </w:rPr>
        <w:t>Rauber</w:t>
      </w:r>
      <w:proofErr w:type="spellEnd"/>
      <w:r w:rsidRPr="006645C9">
        <w:rPr>
          <w:rFonts w:asciiTheme="majorHAnsi" w:hAnsiTheme="majorHAnsi" w:cstheme="minorHAnsi"/>
        </w:rPr>
        <w:t xml:space="preserve"> </w:t>
      </w:r>
      <w:proofErr w:type="spellStart"/>
      <w:r w:rsidRPr="006645C9">
        <w:rPr>
          <w:rFonts w:asciiTheme="majorHAnsi" w:hAnsiTheme="majorHAnsi" w:cstheme="minorHAnsi"/>
        </w:rPr>
        <w:t>Kopsch</w:t>
      </w:r>
      <w:proofErr w:type="spellEnd"/>
      <w:r w:rsidRPr="006645C9">
        <w:rPr>
          <w:rFonts w:asciiTheme="majorHAnsi" w:hAnsiTheme="majorHAnsi" w:cstheme="minorHAnsi"/>
        </w:rPr>
        <w:t xml:space="preserve"> 1952; Wolff-Heidegger 1954.</w:t>
      </w:r>
    </w:p>
  </w:footnote>
  <w:footnote w:id="6">
    <w:p w14:paraId="10B6BD65"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Maresh</w:t>
      </w:r>
      <w:proofErr w:type="spellEnd"/>
      <w:r w:rsidRPr="006645C9">
        <w:rPr>
          <w:rFonts w:asciiTheme="majorHAnsi" w:hAnsiTheme="majorHAnsi" w:cstheme="minorHAnsi"/>
        </w:rPr>
        <w:t xml:space="preserve"> 1955.</w:t>
      </w:r>
    </w:p>
  </w:footnote>
  <w:footnote w:id="7">
    <w:p w14:paraId="4D8C8C0E"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Brothwell</w:t>
      </w:r>
      <w:proofErr w:type="spellEnd"/>
      <w:r w:rsidRPr="006645C9">
        <w:rPr>
          <w:rFonts w:asciiTheme="majorHAnsi" w:hAnsiTheme="majorHAnsi" w:cstheme="minorHAnsi"/>
        </w:rPr>
        <w:t xml:space="preserve"> 1981; WEA 1980.</w:t>
      </w:r>
    </w:p>
  </w:footnote>
  <w:footnote w:id="8">
    <w:p w14:paraId="23E5D00D" w14:textId="77777777" w:rsidR="00356640" w:rsidRPr="006645C9" w:rsidRDefault="00356640" w:rsidP="00EC7448">
      <w:pPr>
        <w:pStyle w:val="Voetnoottekst"/>
        <w:spacing w:after="0"/>
        <w:rPr>
          <w:rFonts w:asciiTheme="majorHAnsi" w:hAnsiTheme="majorHAnsi" w:cstheme="minorHAnsi"/>
        </w:rPr>
      </w:pPr>
      <w:r w:rsidRPr="006645C9">
        <w:rPr>
          <w:rStyle w:val="Voetnootmarkering"/>
          <w:rFonts w:asciiTheme="majorHAnsi" w:hAnsiTheme="majorHAnsi" w:cstheme="minorHAnsi"/>
        </w:rPr>
        <w:footnoteRef/>
      </w:r>
      <w:r w:rsidRPr="006645C9">
        <w:rPr>
          <w:rFonts w:asciiTheme="majorHAnsi" w:hAnsiTheme="majorHAnsi" w:cstheme="minorHAnsi"/>
        </w:rPr>
        <w:t xml:space="preserve">   </w:t>
      </w:r>
      <w:r w:rsidRPr="006645C9">
        <w:rPr>
          <w:rFonts w:asciiTheme="majorHAnsi" w:hAnsiTheme="majorHAnsi" w:cstheme="minorHAnsi"/>
        </w:rPr>
        <w:tab/>
        <w:t xml:space="preserve">De complexe methode is een onderdeel van </w:t>
      </w:r>
      <w:proofErr w:type="spellStart"/>
      <w:r w:rsidRPr="006645C9">
        <w:rPr>
          <w:rFonts w:asciiTheme="majorHAnsi" w:hAnsiTheme="majorHAnsi" w:cstheme="minorHAnsi"/>
        </w:rPr>
        <w:t>Barge’s</w:t>
      </w:r>
      <w:proofErr w:type="spellEnd"/>
      <w:r w:rsidRPr="006645C9">
        <w:rPr>
          <w:rFonts w:asciiTheme="majorHAnsi" w:hAnsiTheme="majorHAnsi" w:cstheme="minorHAnsi"/>
        </w:rPr>
        <w:t xml:space="preserve"> </w:t>
      </w:r>
      <w:proofErr w:type="spellStart"/>
      <w:r w:rsidRPr="006645C9">
        <w:rPr>
          <w:rFonts w:asciiTheme="majorHAnsi" w:hAnsiTheme="majorHAnsi" w:cstheme="minorHAnsi"/>
        </w:rPr>
        <w:t>Antropologica</w:t>
      </w:r>
      <w:proofErr w:type="spellEnd"/>
    </w:p>
  </w:footnote>
  <w:footnote w:id="9">
    <w:p w14:paraId="426B49D4"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t>Maat &amp; Mastwijk 2005: 12.</w:t>
      </w:r>
    </w:p>
  </w:footnote>
  <w:footnote w:id="10">
    <w:p w14:paraId="28FC3251" w14:textId="77777777" w:rsidR="00397723" w:rsidRDefault="00356640" w:rsidP="00397723">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Acsádi</w:t>
      </w:r>
      <w:proofErr w:type="spellEnd"/>
      <w:r w:rsidRPr="006645C9">
        <w:rPr>
          <w:rFonts w:asciiTheme="majorHAnsi" w:hAnsiTheme="majorHAnsi" w:cstheme="minorHAnsi"/>
        </w:rPr>
        <w:t xml:space="preserve"> &amp; </w:t>
      </w:r>
      <w:proofErr w:type="spellStart"/>
      <w:r w:rsidRPr="006645C9">
        <w:rPr>
          <w:rFonts w:asciiTheme="majorHAnsi" w:hAnsiTheme="majorHAnsi" w:cstheme="minorHAnsi"/>
        </w:rPr>
        <w:t>Nemeskéri</w:t>
      </w:r>
      <w:proofErr w:type="spellEnd"/>
      <w:r w:rsidRPr="006645C9">
        <w:rPr>
          <w:rFonts w:asciiTheme="majorHAnsi" w:hAnsiTheme="majorHAnsi" w:cstheme="minorHAnsi"/>
        </w:rPr>
        <w:t xml:space="preserve"> 1970; </w:t>
      </w:r>
      <w:proofErr w:type="spellStart"/>
      <w:r w:rsidRPr="006645C9">
        <w:rPr>
          <w:rFonts w:asciiTheme="majorHAnsi" w:hAnsiTheme="majorHAnsi" w:cstheme="minorHAnsi"/>
        </w:rPr>
        <w:t>Broca</w:t>
      </w:r>
      <w:proofErr w:type="spellEnd"/>
      <w:r w:rsidRPr="006645C9">
        <w:rPr>
          <w:rFonts w:asciiTheme="majorHAnsi" w:hAnsiTheme="majorHAnsi" w:cstheme="minorHAnsi"/>
        </w:rPr>
        <w:t xml:space="preserve"> 1875; </w:t>
      </w:r>
      <w:proofErr w:type="spellStart"/>
      <w:r w:rsidRPr="006645C9">
        <w:rPr>
          <w:rFonts w:asciiTheme="majorHAnsi" w:hAnsiTheme="majorHAnsi" w:cstheme="minorHAnsi"/>
        </w:rPr>
        <w:t>Nemeskéri</w:t>
      </w:r>
      <w:proofErr w:type="spellEnd"/>
      <w:r w:rsidRPr="006645C9">
        <w:rPr>
          <w:rFonts w:asciiTheme="majorHAnsi" w:hAnsiTheme="majorHAnsi" w:cstheme="minorHAnsi"/>
        </w:rPr>
        <w:t xml:space="preserve">, </w:t>
      </w:r>
      <w:proofErr w:type="spellStart"/>
      <w:r w:rsidRPr="006645C9">
        <w:rPr>
          <w:rFonts w:asciiTheme="majorHAnsi" w:hAnsiTheme="majorHAnsi" w:cstheme="minorHAnsi"/>
        </w:rPr>
        <w:t>Harsányi</w:t>
      </w:r>
      <w:proofErr w:type="spellEnd"/>
      <w:r w:rsidRPr="006645C9">
        <w:rPr>
          <w:rFonts w:asciiTheme="majorHAnsi" w:hAnsiTheme="majorHAnsi" w:cstheme="minorHAnsi"/>
        </w:rPr>
        <w:t xml:space="preserve"> </w:t>
      </w:r>
      <w:proofErr w:type="spellStart"/>
      <w:r w:rsidRPr="006645C9">
        <w:rPr>
          <w:rFonts w:asciiTheme="majorHAnsi" w:hAnsiTheme="majorHAnsi" w:cstheme="minorHAnsi"/>
        </w:rPr>
        <w:t>and</w:t>
      </w:r>
      <w:proofErr w:type="spellEnd"/>
      <w:r w:rsidRPr="006645C9">
        <w:rPr>
          <w:rFonts w:asciiTheme="majorHAnsi" w:hAnsiTheme="majorHAnsi" w:cstheme="minorHAnsi"/>
        </w:rPr>
        <w:t xml:space="preserve"> </w:t>
      </w:r>
      <w:proofErr w:type="spellStart"/>
      <w:r w:rsidRPr="006645C9">
        <w:rPr>
          <w:rFonts w:asciiTheme="majorHAnsi" w:hAnsiTheme="majorHAnsi" w:cstheme="minorHAnsi"/>
        </w:rPr>
        <w:t>Acsádi</w:t>
      </w:r>
      <w:proofErr w:type="spellEnd"/>
      <w:r w:rsidRPr="006645C9">
        <w:rPr>
          <w:rFonts w:asciiTheme="majorHAnsi" w:hAnsiTheme="majorHAnsi" w:cstheme="minorHAnsi"/>
        </w:rPr>
        <w:t xml:space="preserve"> 1960; </w:t>
      </w:r>
      <w:proofErr w:type="spellStart"/>
      <w:r w:rsidRPr="006645C9">
        <w:rPr>
          <w:rFonts w:asciiTheme="majorHAnsi" w:hAnsiTheme="majorHAnsi" w:cstheme="minorHAnsi"/>
        </w:rPr>
        <w:t>Sjøvold</w:t>
      </w:r>
      <w:proofErr w:type="spellEnd"/>
      <w:r w:rsidRPr="006645C9">
        <w:rPr>
          <w:rFonts w:asciiTheme="majorHAnsi" w:hAnsiTheme="majorHAnsi" w:cstheme="minorHAnsi"/>
        </w:rPr>
        <w:t xml:space="preserve"> </w:t>
      </w:r>
    </w:p>
    <w:p w14:paraId="6E232145" w14:textId="77777777" w:rsidR="00356640" w:rsidRPr="008E345F" w:rsidRDefault="00A92322" w:rsidP="00356640">
      <w:pPr>
        <w:pStyle w:val="Voetnoottekst"/>
        <w:spacing w:after="0"/>
        <w:ind w:left="708"/>
        <w:rPr>
          <w:rFonts w:asciiTheme="majorHAnsi" w:hAnsiTheme="majorHAnsi" w:cstheme="minorHAnsi"/>
          <w:lang w:val="en-US"/>
        </w:rPr>
      </w:pPr>
      <w:r w:rsidRPr="008E345F">
        <w:rPr>
          <w:rFonts w:asciiTheme="majorHAnsi" w:hAnsiTheme="majorHAnsi" w:cstheme="minorHAnsi"/>
          <w:lang w:val="en-US"/>
        </w:rPr>
        <w:t>1975;</w:t>
      </w:r>
      <w:r w:rsidR="00356640" w:rsidRPr="008E345F">
        <w:rPr>
          <w:rFonts w:asciiTheme="majorHAnsi" w:hAnsiTheme="majorHAnsi" w:cstheme="minorHAnsi"/>
          <w:lang w:val="en-US"/>
        </w:rPr>
        <w:t xml:space="preserve"> WEA 1980.</w:t>
      </w:r>
    </w:p>
  </w:footnote>
  <w:footnote w:id="11">
    <w:p w14:paraId="54C037B8" w14:textId="77777777" w:rsidR="00356640" w:rsidRPr="008E345F" w:rsidRDefault="00356640" w:rsidP="00EC7448">
      <w:pPr>
        <w:pStyle w:val="Voetnoottekst"/>
        <w:spacing w:after="0"/>
        <w:rPr>
          <w:rFonts w:asciiTheme="majorHAnsi" w:hAnsiTheme="majorHAnsi" w:cstheme="minorHAnsi"/>
          <w:lang w:val="en-US"/>
        </w:rPr>
      </w:pPr>
      <w:r w:rsidRPr="006645C9">
        <w:rPr>
          <w:rStyle w:val="Voetnoottekens"/>
          <w:rFonts w:asciiTheme="majorHAnsi" w:hAnsiTheme="majorHAnsi" w:cstheme="minorHAnsi"/>
        </w:rPr>
        <w:footnoteRef/>
      </w:r>
      <w:r w:rsidRPr="008E345F">
        <w:rPr>
          <w:rFonts w:asciiTheme="majorHAnsi" w:hAnsiTheme="majorHAnsi" w:cstheme="minorHAnsi"/>
          <w:lang w:val="en-US"/>
        </w:rPr>
        <w:tab/>
        <w:t xml:space="preserve">Lovejoy, </w:t>
      </w:r>
      <w:proofErr w:type="spellStart"/>
      <w:r w:rsidRPr="008E345F">
        <w:rPr>
          <w:rFonts w:asciiTheme="majorHAnsi" w:hAnsiTheme="majorHAnsi" w:cstheme="minorHAnsi"/>
          <w:lang w:val="en-US"/>
        </w:rPr>
        <w:t>Meindl</w:t>
      </w:r>
      <w:proofErr w:type="spellEnd"/>
      <w:r w:rsidRPr="008E345F">
        <w:rPr>
          <w:rFonts w:asciiTheme="majorHAnsi" w:hAnsiTheme="majorHAnsi" w:cstheme="minorHAnsi"/>
          <w:lang w:val="en-US"/>
        </w:rPr>
        <w:t xml:space="preserve">, </w:t>
      </w:r>
      <w:proofErr w:type="spellStart"/>
      <w:r w:rsidRPr="008E345F">
        <w:rPr>
          <w:rFonts w:asciiTheme="majorHAnsi" w:hAnsiTheme="majorHAnsi" w:cstheme="minorHAnsi"/>
          <w:lang w:val="en-US"/>
        </w:rPr>
        <w:t>Pryzbeck</w:t>
      </w:r>
      <w:proofErr w:type="spellEnd"/>
      <w:r w:rsidRPr="008E345F">
        <w:rPr>
          <w:rFonts w:asciiTheme="majorHAnsi" w:hAnsiTheme="majorHAnsi" w:cstheme="minorHAnsi"/>
          <w:lang w:val="en-US"/>
        </w:rPr>
        <w:t xml:space="preserve">, </w:t>
      </w:r>
      <w:proofErr w:type="spellStart"/>
      <w:r w:rsidRPr="008E345F">
        <w:rPr>
          <w:rFonts w:asciiTheme="majorHAnsi" w:hAnsiTheme="majorHAnsi" w:cstheme="minorHAnsi"/>
          <w:lang w:val="en-US"/>
        </w:rPr>
        <w:t>Mensforth</w:t>
      </w:r>
      <w:proofErr w:type="spellEnd"/>
      <w:r w:rsidRPr="008E345F">
        <w:rPr>
          <w:rFonts w:asciiTheme="majorHAnsi" w:hAnsiTheme="majorHAnsi" w:cstheme="minorHAnsi"/>
          <w:lang w:val="en-US"/>
        </w:rPr>
        <w:t xml:space="preserve"> 1985.</w:t>
      </w:r>
    </w:p>
  </w:footnote>
  <w:footnote w:id="12">
    <w:p w14:paraId="6D267E29" w14:textId="77777777" w:rsidR="00356640" w:rsidRPr="006645C9" w:rsidRDefault="00356640" w:rsidP="00EC7448">
      <w:pPr>
        <w:pStyle w:val="Voetnoottekst"/>
        <w:spacing w:after="0"/>
        <w:rPr>
          <w:rFonts w:asciiTheme="majorHAnsi" w:hAnsiTheme="majorHAnsi" w:cstheme="minorHAnsi"/>
        </w:rPr>
      </w:pPr>
      <w:r w:rsidRPr="006645C9">
        <w:rPr>
          <w:rStyle w:val="Voetnootmarkering"/>
          <w:rFonts w:asciiTheme="majorHAnsi" w:hAnsiTheme="majorHAnsi" w:cstheme="minorHAnsi"/>
        </w:rPr>
        <w:footnoteRef/>
      </w:r>
      <w:r w:rsidRPr="006645C9">
        <w:rPr>
          <w:rFonts w:asciiTheme="majorHAnsi" w:hAnsiTheme="majorHAnsi" w:cstheme="minorHAnsi"/>
        </w:rPr>
        <w:t xml:space="preserve"> </w:t>
      </w:r>
      <w:r w:rsidRPr="006645C9">
        <w:rPr>
          <w:rFonts w:asciiTheme="majorHAnsi" w:hAnsiTheme="majorHAnsi" w:cstheme="minorHAnsi"/>
        </w:rPr>
        <w:tab/>
        <w:t>Bijvoorbeeld 5-8 of 20-40 jaar</w:t>
      </w:r>
    </w:p>
  </w:footnote>
  <w:footnote w:id="13">
    <w:p w14:paraId="78C2CF72"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Baetsen</w:t>
      </w:r>
      <w:proofErr w:type="spellEnd"/>
      <w:r w:rsidRPr="006645C9">
        <w:rPr>
          <w:rFonts w:asciiTheme="majorHAnsi" w:hAnsiTheme="majorHAnsi" w:cstheme="minorHAnsi"/>
        </w:rPr>
        <w:t xml:space="preserve"> 2001: 36; Maat 2003: 62.</w:t>
      </w:r>
    </w:p>
  </w:footnote>
  <w:footnote w:id="14">
    <w:p w14:paraId="649D3FA0"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Trotter</w:t>
      </w:r>
      <w:proofErr w:type="spellEnd"/>
      <w:r w:rsidRPr="006645C9">
        <w:rPr>
          <w:rFonts w:asciiTheme="majorHAnsi" w:hAnsiTheme="majorHAnsi" w:cstheme="minorHAnsi"/>
        </w:rPr>
        <w:t xml:space="preserve"> 1970; </w:t>
      </w:r>
      <w:proofErr w:type="spellStart"/>
      <w:r w:rsidRPr="006645C9">
        <w:rPr>
          <w:rFonts w:asciiTheme="majorHAnsi" w:hAnsiTheme="majorHAnsi" w:cstheme="minorHAnsi"/>
        </w:rPr>
        <w:t>Trotter</w:t>
      </w:r>
      <w:proofErr w:type="spellEnd"/>
      <w:r w:rsidRPr="006645C9">
        <w:rPr>
          <w:rFonts w:asciiTheme="majorHAnsi" w:hAnsiTheme="majorHAnsi" w:cstheme="minorHAnsi"/>
        </w:rPr>
        <w:t xml:space="preserve"> &amp; </w:t>
      </w:r>
      <w:proofErr w:type="spellStart"/>
      <w:r w:rsidRPr="006645C9">
        <w:rPr>
          <w:rFonts w:asciiTheme="majorHAnsi" w:hAnsiTheme="majorHAnsi" w:cstheme="minorHAnsi"/>
        </w:rPr>
        <w:t>Gleser</w:t>
      </w:r>
      <w:proofErr w:type="spellEnd"/>
      <w:r w:rsidRPr="006645C9">
        <w:rPr>
          <w:rFonts w:asciiTheme="majorHAnsi" w:hAnsiTheme="majorHAnsi" w:cstheme="minorHAnsi"/>
        </w:rPr>
        <w:t xml:space="preserve"> 1958.</w:t>
      </w:r>
    </w:p>
  </w:footnote>
  <w:footnote w:id="15">
    <w:p w14:paraId="7F9EB6A9"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Breitinger</w:t>
      </w:r>
      <w:proofErr w:type="spellEnd"/>
      <w:r w:rsidRPr="006645C9">
        <w:rPr>
          <w:rFonts w:asciiTheme="majorHAnsi" w:hAnsiTheme="majorHAnsi" w:cstheme="minorHAnsi"/>
        </w:rPr>
        <w:t xml:space="preserve"> 1937.</w:t>
      </w:r>
    </w:p>
  </w:footnote>
  <w:footnote w:id="16">
    <w:p w14:paraId="06D273EC"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r w:rsidR="0079567C">
        <w:rPr>
          <w:rFonts w:asciiTheme="majorHAnsi" w:hAnsiTheme="majorHAnsi" w:cstheme="minorHAnsi"/>
        </w:rPr>
        <w:t>M</w:t>
      </w:r>
      <w:r w:rsidRPr="006645C9">
        <w:rPr>
          <w:rFonts w:asciiTheme="majorHAnsi" w:hAnsiTheme="majorHAnsi" w:cstheme="minorHAnsi"/>
        </w:rPr>
        <w:t>aat &amp; Mastwijk 2005: 13.</w:t>
      </w:r>
    </w:p>
  </w:footnote>
  <w:footnote w:id="17">
    <w:p w14:paraId="52B5E865"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Baetsen</w:t>
      </w:r>
      <w:proofErr w:type="spellEnd"/>
      <w:r w:rsidRPr="006645C9">
        <w:rPr>
          <w:rFonts w:asciiTheme="majorHAnsi" w:hAnsiTheme="majorHAnsi" w:cstheme="minorHAnsi"/>
        </w:rPr>
        <w:t xml:space="preserve"> 2001: 51.</w:t>
      </w:r>
    </w:p>
  </w:footnote>
  <w:footnote w:id="18">
    <w:p w14:paraId="27A1455B"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Ortner</w:t>
      </w:r>
      <w:proofErr w:type="spellEnd"/>
      <w:r w:rsidRPr="006645C9">
        <w:rPr>
          <w:rFonts w:asciiTheme="majorHAnsi" w:hAnsiTheme="majorHAnsi" w:cstheme="minorHAnsi"/>
        </w:rPr>
        <w:t xml:space="preserve"> 2003: 179.</w:t>
      </w:r>
    </w:p>
  </w:footnote>
  <w:footnote w:id="19">
    <w:p w14:paraId="70EE85A7"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Ortner</w:t>
      </w:r>
      <w:proofErr w:type="spellEnd"/>
      <w:r w:rsidRPr="006645C9">
        <w:rPr>
          <w:rFonts w:asciiTheme="majorHAnsi" w:hAnsiTheme="majorHAnsi" w:cstheme="minorHAnsi"/>
        </w:rPr>
        <w:t xml:space="preserve"> &amp; Putschar 1981.</w:t>
      </w:r>
    </w:p>
  </w:footnote>
  <w:footnote w:id="20">
    <w:p w14:paraId="098A5075" w14:textId="77777777" w:rsidR="00356640" w:rsidRPr="006645C9" w:rsidRDefault="00356640" w:rsidP="00EC7448">
      <w:pPr>
        <w:pStyle w:val="Voetnoottekst"/>
        <w:spacing w:after="0"/>
        <w:rPr>
          <w:rFonts w:asciiTheme="majorHAnsi" w:hAnsiTheme="majorHAnsi" w:cstheme="minorHAnsi"/>
        </w:rPr>
      </w:pPr>
      <w:r w:rsidRPr="006645C9">
        <w:rPr>
          <w:rStyle w:val="Voetnoottekens"/>
          <w:rFonts w:asciiTheme="majorHAnsi" w:hAnsiTheme="majorHAnsi" w:cstheme="minorHAnsi"/>
        </w:rPr>
        <w:footnoteRef/>
      </w:r>
      <w:r w:rsidRPr="006645C9">
        <w:rPr>
          <w:rFonts w:asciiTheme="majorHAnsi" w:hAnsiTheme="majorHAnsi" w:cstheme="minorHAnsi"/>
        </w:rPr>
        <w:tab/>
      </w:r>
      <w:proofErr w:type="spellStart"/>
      <w:r w:rsidRPr="006645C9">
        <w:rPr>
          <w:rFonts w:asciiTheme="majorHAnsi" w:hAnsiTheme="majorHAnsi" w:cstheme="minorHAnsi"/>
        </w:rPr>
        <w:t>Ortner</w:t>
      </w:r>
      <w:proofErr w:type="spellEnd"/>
      <w:r w:rsidRPr="006645C9">
        <w:rPr>
          <w:rFonts w:asciiTheme="majorHAnsi" w:hAnsiTheme="majorHAnsi" w:cstheme="minorHAnsi"/>
        </w:rPr>
        <w:t xml:space="preserve"> &amp; Putschar 1981; Maat &amp; Mastwijk 2005: 15.</w:t>
      </w:r>
    </w:p>
  </w:footnote>
  <w:footnote w:id="21">
    <w:p w14:paraId="1A3D447D" w14:textId="77777777" w:rsidR="00356640" w:rsidRPr="006645C9" w:rsidRDefault="00356640" w:rsidP="00EC7448">
      <w:pPr>
        <w:pStyle w:val="Voetnoottekst"/>
        <w:spacing w:after="0"/>
        <w:rPr>
          <w:rFonts w:asciiTheme="majorHAnsi" w:hAnsiTheme="majorHAnsi" w:cstheme="minorHAnsi"/>
          <w:lang w:val="en-US"/>
        </w:rPr>
      </w:pPr>
      <w:r w:rsidRPr="006645C9">
        <w:rPr>
          <w:rStyle w:val="Voetnoottekens"/>
          <w:rFonts w:asciiTheme="majorHAnsi" w:hAnsiTheme="majorHAnsi" w:cstheme="minorHAnsi"/>
        </w:rPr>
        <w:footnoteRef/>
      </w:r>
      <w:r w:rsidRPr="006645C9">
        <w:rPr>
          <w:rFonts w:asciiTheme="majorHAnsi" w:hAnsiTheme="majorHAnsi" w:cstheme="minorHAnsi"/>
          <w:lang w:val="en-US"/>
        </w:rPr>
        <w:tab/>
        <w:t>Rogers &amp; Waldron 1995.</w:t>
      </w:r>
    </w:p>
  </w:footnote>
  <w:footnote w:id="22">
    <w:p w14:paraId="3B793ACA" w14:textId="77777777" w:rsidR="00356640" w:rsidRPr="006645C9" w:rsidRDefault="00356640" w:rsidP="00EC7448">
      <w:pPr>
        <w:pStyle w:val="Voetnoottekst"/>
        <w:spacing w:after="0"/>
        <w:rPr>
          <w:rFonts w:asciiTheme="majorHAnsi" w:hAnsiTheme="majorHAnsi" w:cstheme="minorHAnsi"/>
          <w:lang w:val="en-US"/>
        </w:rPr>
      </w:pPr>
      <w:r w:rsidRPr="006645C9">
        <w:rPr>
          <w:rStyle w:val="Voetnoottekens"/>
          <w:rFonts w:asciiTheme="majorHAnsi" w:hAnsiTheme="majorHAnsi" w:cstheme="minorHAnsi"/>
        </w:rPr>
        <w:footnoteRef/>
      </w:r>
      <w:r w:rsidRPr="006645C9">
        <w:rPr>
          <w:rFonts w:asciiTheme="majorHAnsi" w:hAnsiTheme="majorHAnsi" w:cstheme="minorHAnsi"/>
          <w:lang w:val="en-US"/>
        </w:rPr>
        <w:tab/>
        <w:t>Rogers &amp; Waldron 1995.</w:t>
      </w:r>
    </w:p>
  </w:footnote>
  <w:footnote w:id="23">
    <w:p w14:paraId="34D126E2" w14:textId="77777777" w:rsidR="00356640" w:rsidRPr="006645C9" w:rsidRDefault="00356640" w:rsidP="00EC7448">
      <w:pPr>
        <w:pStyle w:val="Voetnoottekst"/>
        <w:spacing w:after="0"/>
        <w:rPr>
          <w:rFonts w:asciiTheme="majorHAnsi" w:hAnsiTheme="majorHAnsi" w:cstheme="minorHAnsi"/>
          <w:lang w:val="en-US"/>
        </w:rPr>
      </w:pPr>
      <w:r w:rsidRPr="006645C9">
        <w:rPr>
          <w:rStyle w:val="Voetnoottekens"/>
          <w:rFonts w:asciiTheme="majorHAnsi" w:hAnsiTheme="majorHAnsi" w:cstheme="minorHAnsi"/>
        </w:rPr>
        <w:footnoteRef/>
      </w:r>
      <w:r w:rsidRPr="006645C9">
        <w:rPr>
          <w:rFonts w:asciiTheme="majorHAnsi" w:hAnsiTheme="majorHAnsi" w:cstheme="minorHAnsi"/>
          <w:lang w:val="en-US"/>
        </w:rPr>
        <w:tab/>
        <w:t>Ortner 2003: 453-479.</w:t>
      </w:r>
    </w:p>
  </w:footnote>
  <w:footnote w:id="24">
    <w:p w14:paraId="56CD7B3A" w14:textId="77777777" w:rsidR="00356640" w:rsidRPr="006645C9" w:rsidRDefault="00356640" w:rsidP="00EC7448">
      <w:pPr>
        <w:pStyle w:val="Voetnoottekst"/>
        <w:spacing w:after="0"/>
        <w:rPr>
          <w:rFonts w:asciiTheme="majorHAnsi" w:hAnsiTheme="majorHAnsi" w:cstheme="minorHAnsi"/>
        </w:rPr>
      </w:pPr>
      <w:r w:rsidRPr="006645C9">
        <w:rPr>
          <w:rStyle w:val="Voetnootmarkering"/>
          <w:rFonts w:asciiTheme="majorHAnsi" w:hAnsiTheme="majorHAnsi" w:cstheme="minorHAnsi"/>
        </w:rPr>
        <w:footnoteRef/>
      </w:r>
      <w:r w:rsidRPr="006645C9">
        <w:rPr>
          <w:rFonts w:asciiTheme="majorHAnsi" w:hAnsiTheme="majorHAnsi" w:cstheme="minorHAnsi"/>
        </w:rPr>
        <w:t xml:space="preserve"> </w:t>
      </w:r>
      <w:r w:rsidRPr="006645C9">
        <w:rPr>
          <w:rFonts w:asciiTheme="majorHAnsi" w:hAnsiTheme="majorHAnsi" w:cstheme="minorHAnsi"/>
        </w:rPr>
        <w:tab/>
      </w:r>
      <w:proofErr w:type="spellStart"/>
      <w:r w:rsidRPr="006645C9">
        <w:rPr>
          <w:rFonts w:asciiTheme="majorHAnsi" w:hAnsiTheme="majorHAnsi" w:cstheme="minorHAnsi"/>
        </w:rPr>
        <w:t>Knussmann</w:t>
      </w:r>
      <w:proofErr w:type="spellEnd"/>
      <w:r w:rsidRPr="006645C9">
        <w:rPr>
          <w:rFonts w:asciiTheme="majorHAnsi" w:hAnsiTheme="majorHAnsi" w:cstheme="minorHAnsi"/>
        </w:rPr>
        <w:t xml:space="preserve"> 1988.</w:t>
      </w:r>
    </w:p>
  </w:footnote>
  <w:footnote w:id="25">
    <w:p w14:paraId="23FD32B8" w14:textId="77777777" w:rsidR="00356640" w:rsidRPr="006645C9" w:rsidRDefault="00356640" w:rsidP="00EC7448">
      <w:pPr>
        <w:pStyle w:val="Voetnoottekst"/>
        <w:spacing w:after="0"/>
        <w:rPr>
          <w:rFonts w:asciiTheme="majorHAnsi" w:hAnsiTheme="majorHAnsi" w:cstheme="minorHAnsi"/>
        </w:rPr>
      </w:pPr>
      <w:r w:rsidRPr="006645C9">
        <w:rPr>
          <w:rStyle w:val="Voetnootmarkering"/>
          <w:rFonts w:asciiTheme="majorHAnsi" w:hAnsiTheme="majorHAnsi" w:cstheme="minorHAnsi"/>
        </w:rPr>
        <w:footnoteRef/>
      </w:r>
      <w:r w:rsidRPr="006645C9">
        <w:rPr>
          <w:rFonts w:asciiTheme="majorHAnsi" w:hAnsiTheme="majorHAnsi" w:cstheme="minorHAnsi"/>
        </w:rPr>
        <w:t xml:space="preserve"> </w:t>
      </w:r>
      <w:r w:rsidRPr="006645C9">
        <w:rPr>
          <w:rFonts w:asciiTheme="majorHAnsi" w:hAnsiTheme="majorHAnsi" w:cstheme="minorHAnsi"/>
        </w:rPr>
        <w:tab/>
      </w:r>
      <w:proofErr w:type="spellStart"/>
      <w:r w:rsidRPr="006645C9">
        <w:rPr>
          <w:rFonts w:asciiTheme="majorHAnsi" w:hAnsiTheme="majorHAnsi" w:cstheme="minorHAnsi"/>
        </w:rPr>
        <w:t>Constandse</w:t>
      </w:r>
      <w:proofErr w:type="spellEnd"/>
      <w:r w:rsidRPr="006645C9">
        <w:rPr>
          <w:rFonts w:asciiTheme="majorHAnsi" w:hAnsiTheme="majorHAnsi" w:cstheme="minorHAnsi"/>
        </w:rPr>
        <w:t xml:space="preserve"> 1968; Maat, Mastwijk &amp; </w:t>
      </w:r>
      <w:proofErr w:type="spellStart"/>
      <w:r w:rsidRPr="006645C9">
        <w:rPr>
          <w:rFonts w:asciiTheme="majorHAnsi" w:hAnsiTheme="majorHAnsi" w:cstheme="minorHAnsi"/>
        </w:rPr>
        <w:t>Sarfatij</w:t>
      </w:r>
      <w:proofErr w:type="spellEnd"/>
      <w:r w:rsidRPr="006645C9">
        <w:rPr>
          <w:rFonts w:asciiTheme="majorHAnsi" w:hAnsiTheme="majorHAnsi" w:cstheme="minorHAnsi"/>
        </w:rPr>
        <w:t xml:space="preserve"> 1998: 16; </w:t>
      </w:r>
      <w:proofErr w:type="spellStart"/>
      <w:r w:rsidRPr="006645C9">
        <w:rPr>
          <w:rFonts w:asciiTheme="majorHAnsi" w:hAnsiTheme="majorHAnsi" w:cstheme="minorHAnsi"/>
        </w:rPr>
        <w:t>Salomé</w:t>
      </w:r>
      <w:proofErr w:type="spellEnd"/>
      <w:r w:rsidRPr="006645C9">
        <w:rPr>
          <w:rFonts w:asciiTheme="majorHAnsi" w:hAnsiTheme="majorHAnsi" w:cstheme="minorHAnsi"/>
        </w:rPr>
        <w:t xml:space="preserve"> 1969.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72FE"/>
    <w:multiLevelType w:val="hybridMultilevel"/>
    <w:tmpl w:val="7B68AA5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6281439A"/>
    <w:multiLevelType w:val="hybridMultilevel"/>
    <w:tmpl w:val="10364870"/>
    <w:lvl w:ilvl="0" w:tplc="34E0DC82">
      <w:numFmt w:val="bullet"/>
      <w:lvlText w:val="-"/>
      <w:lvlJc w:val="left"/>
      <w:pPr>
        <w:ind w:left="910" w:hanging="360"/>
      </w:pPr>
      <w:rPr>
        <w:rFonts w:ascii="Cambria" w:eastAsia="Times New Roman" w:hAnsi="Cambria" w:cs="Times New Roman" w:hint="default"/>
      </w:rPr>
    </w:lvl>
    <w:lvl w:ilvl="1" w:tplc="08130003" w:tentative="1">
      <w:start w:val="1"/>
      <w:numFmt w:val="bullet"/>
      <w:lvlText w:val="o"/>
      <w:lvlJc w:val="left"/>
      <w:pPr>
        <w:ind w:left="1630" w:hanging="360"/>
      </w:pPr>
      <w:rPr>
        <w:rFonts w:ascii="Courier New" w:hAnsi="Courier New" w:cs="Courier New" w:hint="default"/>
      </w:rPr>
    </w:lvl>
    <w:lvl w:ilvl="2" w:tplc="08130005" w:tentative="1">
      <w:start w:val="1"/>
      <w:numFmt w:val="bullet"/>
      <w:lvlText w:val=""/>
      <w:lvlJc w:val="left"/>
      <w:pPr>
        <w:ind w:left="2350" w:hanging="360"/>
      </w:pPr>
      <w:rPr>
        <w:rFonts w:ascii="Wingdings" w:hAnsi="Wingdings" w:hint="default"/>
      </w:rPr>
    </w:lvl>
    <w:lvl w:ilvl="3" w:tplc="08130001" w:tentative="1">
      <w:start w:val="1"/>
      <w:numFmt w:val="bullet"/>
      <w:lvlText w:val=""/>
      <w:lvlJc w:val="left"/>
      <w:pPr>
        <w:ind w:left="3070" w:hanging="360"/>
      </w:pPr>
      <w:rPr>
        <w:rFonts w:ascii="Symbol" w:hAnsi="Symbol" w:hint="default"/>
      </w:rPr>
    </w:lvl>
    <w:lvl w:ilvl="4" w:tplc="08130003" w:tentative="1">
      <w:start w:val="1"/>
      <w:numFmt w:val="bullet"/>
      <w:lvlText w:val="o"/>
      <w:lvlJc w:val="left"/>
      <w:pPr>
        <w:ind w:left="3790" w:hanging="360"/>
      </w:pPr>
      <w:rPr>
        <w:rFonts w:ascii="Courier New" w:hAnsi="Courier New" w:cs="Courier New" w:hint="default"/>
      </w:rPr>
    </w:lvl>
    <w:lvl w:ilvl="5" w:tplc="08130005" w:tentative="1">
      <w:start w:val="1"/>
      <w:numFmt w:val="bullet"/>
      <w:lvlText w:val=""/>
      <w:lvlJc w:val="left"/>
      <w:pPr>
        <w:ind w:left="4510" w:hanging="360"/>
      </w:pPr>
      <w:rPr>
        <w:rFonts w:ascii="Wingdings" w:hAnsi="Wingdings" w:hint="default"/>
      </w:rPr>
    </w:lvl>
    <w:lvl w:ilvl="6" w:tplc="08130001" w:tentative="1">
      <w:start w:val="1"/>
      <w:numFmt w:val="bullet"/>
      <w:lvlText w:val=""/>
      <w:lvlJc w:val="left"/>
      <w:pPr>
        <w:ind w:left="5230" w:hanging="360"/>
      </w:pPr>
      <w:rPr>
        <w:rFonts w:ascii="Symbol" w:hAnsi="Symbol" w:hint="default"/>
      </w:rPr>
    </w:lvl>
    <w:lvl w:ilvl="7" w:tplc="08130003" w:tentative="1">
      <w:start w:val="1"/>
      <w:numFmt w:val="bullet"/>
      <w:lvlText w:val="o"/>
      <w:lvlJc w:val="left"/>
      <w:pPr>
        <w:ind w:left="5950" w:hanging="360"/>
      </w:pPr>
      <w:rPr>
        <w:rFonts w:ascii="Courier New" w:hAnsi="Courier New" w:cs="Courier New" w:hint="default"/>
      </w:rPr>
    </w:lvl>
    <w:lvl w:ilvl="8" w:tplc="08130005" w:tentative="1">
      <w:start w:val="1"/>
      <w:numFmt w:val="bullet"/>
      <w:lvlText w:val=""/>
      <w:lvlJc w:val="left"/>
      <w:pPr>
        <w:ind w:left="6670" w:hanging="360"/>
      </w:pPr>
      <w:rPr>
        <w:rFonts w:ascii="Wingdings" w:hAnsi="Wingdings" w:hint="default"/>
      </w:rPr>
    </w:lvl>
  </w:abstractNum>
  <w:abstractNum w:abstractNumId="2" w15:restartNumberingAfterBreak="0">
    <w:nsid w:val="7F826764"/>
    <w:multiLevelType w:val="hybridMultilevel"/>
    <w:tmpl w:val="644C2006"/>
    <w:lvl w:ilvl="0" w:tplc="A80661AC">
      <w:start w:val="1"/>
      <w:numFmt w:val="bullet"/>
      <w:lvlText w:val="-"/>
      <w:lvlJc w:val="left"/>
      <w:pPr>
        <w:ind w:left="1080" w:hanging="360"/>
      </w:pPr>
      <w:rPr>
        <w:rFonts w:ascii="Calibri" w:eastAsia="Calibri"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7D4E"/>
    <w:rsid w:val="00001734"/>
    <w:rsid w:val="000040E4"/>
    <w:rsid w:val="00010389"/>
    <w:rsid w:val="000175A5"/>
    <w:rsid w:val="00017D4E"/>
    <w:rsid w:val="00036DF0"/>
    <w:rsid w:val="000700C4"/>
    <w:rsid w:val="0007595D"/>
    <w:rsid w:val="00091CC8"/>
    <w:rsid w:val="000D163D"/>
    <w:rsid w:val="000F1C3B"/>
    <w:rsid w:val="00120EA7"/>
    <w:rsid w:val="001412F7"/>
    <w:rsid w:val="001450DC"/>
    <w:rsid w:val="00160378"/>
    <w:rsid w:val="00183075"/>
    <w:rsid w:val="001A135D"/>
    <w:rsid w:val="001F4B2E"/>
    <w:rsid w:val="00202FD4"/>
    <w:rsid w:val="00292FAC"/>
    <w:rsid w:val="002B6E6D"/>
    <w:rsid w:val="002D0AEE"/>
    <w:rsid w:val="002D3316"/>
    <w:rsid w:val="002D5D4D"/>
    <w:rsid w:val="002D5F25"/>
    <w:rsid w:val="002F3D58"/>
    <w:rsid w:val="00303E61"/>
    <w:rsid w:val="00314070"/>
    <w:rsid w:val="00330A01"/>
    <w:rsid w:val="00356640"/>
    <w:rsid w:val="00360C78"/>
    <w:rsid w:val="0037333E"/>
    <w:rsid w:val="00397723"/>
    <w:rsid w:val="003A375C"/>
    <w:rsid w:val="003C0BCA"/>
    <w:rsid w:val="003D11A3"/>
    <w:rsid w:val="003E4A71"/>
    <w:rsid w:val="00402E2C"/>
    <w:rsid w:val="004356FD"/>
    <w:rsid w:val="00443631"/>
    <w:rsid w:val="00443ADD"/>
    <w:rsid w:val="0045512A"/>
    <w:rsid w:val="004B6BD4"/>
    <w:rsid w:val="0050095B"/>
    <w:rsid w:val="00510610"/>
    <w:rsid w:val="00537AF2"/>
    <w:rsid w:val="005535F3"/>
    <w:rsid w:val="00556C94"/>
    <w:rsid w:val="005616CC"/>
    <w:rsid w:val="005663A7"/>
    <w:rsid w:val="00582EAC"/>
    <w:rsid w:val="005C5F26"/>
    <w:rsid w:val="005D4427"/>
    <w:rsid w:val="005E05C1"/>
    <w:rsid w:val="005E511F"/>
    <w:rsid w:val="00622684"/>
    <w:rsid w:val="0063452C"/>
    <w:rsid w:val="006B50DF"/>
    <w:rsid w:val="006E49D5"/>
    <w:rsid w:val="00701F6E"/>
    <w:rsid w:val="00762E24"/>
    <w:rsid w:val="007632F2"/>
    <w:rsid w:val="00793534"/>
    <w:rsid w:val="0079567C"/>
    <w:rsid w:val="007B5638"/>
    <w:rsid w:val="007D6374"/>
    <w:rsid w:val="008355F9"/>
    <w:rsid w:val="00842CE6"/>
    <w:rsid w:val="00855BD8"/>
    <w:rsid w:val="00890ED0"/>
    <w:rsid w:val="008A09F2"/>
    <w:rsid w:val="008B5A6B"/>
    <w:rsid w:val="008E345F"/>
    <w:rsid w:val="008F0097"/>
    <w:rsid w:val="00924F22"/>
    <w:rsid w:val="00952BBD"/>
    <w:rsid w:val="009769C1"/>
    <w:rsid w:val="009C0076"/>
    <w:rsid w:val="009D163E"/>
    <w:rsid w:val="009D3F31"/>
    <w:rsid w:val="00A048A4"/>
    <w:rsid w:val="00A12E8A"/>
    <w:rsid w:val="00A2300F"/>
    <w:rsid w:val="00A51E67"/>
    <w:rsid w:val="00A6389C"/>
    <w:rsid w:val="00A662BA"/>
    <w:rsid w:val="00A92322"/>
    <w:rsid w:val="00AA2925"/>
    <w:rsid w:val="00AA7C14"/>
    <w:rsid w:val="00AB4590"/>
    <w:rsid w:val="00AC2994"/>
    <w:rsid w:val="00B022B9"/>
    <w:rsid w:val="00B203D5"/>
    <w:rsid w:val="00B24B91"/>
    <w:rsid w:val="00B40CB6"/>
    <w:rsid w:val="00B96BCE"/>
    <w:rsid w:val="00BB2AD6"/>
    <w:rsid w:val="00BD66A7"/>
    <w:rsid w:val="00C1308D"/>
    <w:rsid w:val="00C311C6"/>
    <w:rsid w:val="00C37174"/>
    <w:rsid w:val="00C43DD5"/>
    <w:rsid w:val="00C6493A"/>
    <w:rsid w:val="00CC4E93"/>
    <w:rsid w:val="00CD1543"/>
    <w:rsid w:val="00CF3805"/>
    <w:rsid w:val="00D239BF"/>
    <w:rsid w:val="00D25FA4"/>
    <w:rsid w:val="00D3125C"/>
    <w:rsid w:val="00D3175B"/>
    <w:rsid w:val="00D438F3"/>
    <w:rsid w:val="00D47ACA"/>
    <w:rsid w:val="00D55C76"/>
    <w:rsid w:val="00D57FA0"/>
    <w:rsid w:val="00D81A82"/>
    <w:rsid w:val="00D84A4B"/>
    <w:rsid w:val="00D92F73"/>
    <w:rsid w:val="00D94F3B"/>
    <w:rsid w:val="00DB175A"/>
    <w:rsid w:val="00DD66EB"/>
    <w:rsid w:val="00DF1B1D"/>
    <w:rsid w:val="00E418E8"/>
    <w:rsid w:val="00E61FB8"/>
    <w:rsid w:val="00E80C3B"/>
    <w:rsid w:val="00EC7448"/>
    <w:rsid w:val="00ED211E"/>
    <w:rsid w:val="00EE109E"/>
    <w:rsid w:val="00EE42A9"/>
    <w:rsid w:val="00F26A3C"/>
    <w:rsid w:val="00F30612"/>
    <w:rsid w:val="00F61F24"/>
    <w:rsid w:val="00F864C0"/>
    <w:rsid w:val="00FA75FA"/>
    <w:rsid w:val="00FC29A1"/>
    <w:rsid w:val="00FD51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4:docId w14:val="49CA51AF"/>
  <w15:docId w15:val="{45448E8E-B6DC-4F2B-A763-CA84639E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017D4E"/>
    <w:rPr>
      <w:rFonts w:ascii="Calibri" w:eastAsia="Calibri" w:hAnsi="Calibri" w:cs="Times New Roman"/>
    </w:rPr>
  </w:style>
  <w:style w:type="paragraph" w:styleId="Kop1">
    <w:name w:val="heading 1"/>
    <w:basedOn w:val="Standaard"/>
    <w:next w:val="Standaard"/>
    <w:link w:val="Kop1Char"/>
    <w:qFormat/>
    <w:rsid w:val="00EE42A9"/>
    <w:pPr>
      <w:spacing w:after="0" w:line="240" w:lineRule="auto"/>
      <w:jc w:val="both"/>
      <w:outlineLvl w:val="0"/>
    </w:pPr>
    <w:rPr>
      <w:rFonts w:ascii="Cambria" w:eastAsia="Times New Roman" w:hAnsi="Cambria"/>
      <w:sz w:val="32"/>
      <w:szCs w:val="24"/>
      <w:lang w:val="nl-BE"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5535F3"/>
    <w:rPr>
      <w:rFonts w:eastAsia="Times New Roman"/>
      <w:sz w:val="20"/>
      <w:szCs w:val="20"/>
      <w:lang w:val="nl-BE" w:eastAsia="nl-BE"/>
    </w:rPr>
  </w:style>
  <w:style w:type="character" w:customStyle="1" w:styleId="VoetnoottekstChar">
    <w:name w:val="Voetnoottekst Char"/>
    <w:basedOn w:val="Standaardalinea-lettertype"/>
    <w:link w:val="Voetnoottekst"/>
    <w:rsid w:val="005535F3"/>
    <w:rPr>
      <w:rFonts w:ascii="Calibri" w:eastAsia="Times New Roman" w:hAnsi="Calibri" w:cs="Times New Roman"/>
      <w:sz w:val="20"/>
      <w:szCs w:val="20"/>
      <w:lang w:val="nl-BE" w:eastAsia="nl-BE"/>
    </w:rPr>
  </w:style>
  <w:style w:type="character" w:styleId="Voetnootmarkering">
    <w:name w:val="footnote reference"/>
    <w:basedOn w:val="Standaardalinea-lettertype"/>
    <w:rsid w:val="005535F3"/>
    <w:rPr>
      <w:vertAlign w:val="superscript"/>
    </w:rPr>
  </w:style>
  <w:style w:type="paragraph" w:styleId="Ballontekst">
    <w:name w:val="Balloon Text"/>
    <w:basedOn w:val="Standaard"/>
    <w:link w:val="BallontekstChar"/>
    <w:uiPriority w:val="99"/>
    <w:semiHidden/>
    <w:unhideWhenUsed/>
    <w:rsid w:val="00B022B9"/>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022B9"/>
    <w:rPr>
      <w:rFonts w:ascii="Tahoma" w:eastAsia="Calibri" w:hAnsi="Tahoma" w:cs="Tahoma"/>
      <w:sz w:val="16"/>
      <w:szCs w:val="16"/>
    </w:rPr>
  </w:style>
  <w:style w:type="character" w:customStyle="1" w:styleId="Kop1Char">
    <w:name w:val="Kop 1 Char"/>
    <w:basedOn w:val="Standaardalinea-lettertype"/>
    <w:link w:val="Kop1"/>
    <w:rsid w:val="00EE42A9"/>
    <w:rPr>
      <w:rFonts w:ascii="Cambria" w:eastAsia="Times New Roman" w:hAnsi="Cambria" w:cs="Times New Roman"/>
      <w:sz w:val="32"/>
      <w:szCs w:val="24"/>
      <w:lang w:val="nl-BE" w:eastAsia="nl-BE"/>
    </w:rPr>
  </w:style>
  <w:style w:type="paragraph" w:styleId="Lijstalinea">
    <w:name w:val="List Paragraph"/>
    <w:basedOn w:val="Standaard"/>
    <w:uiPriority w:val="34"/>
    <w:qFormat/>
    <w:rsid w:val="00EE42A9"/>
    <w:pPr>
      <w:ind w:left="708"/>
    </w:pPr>
    <w:rPr>
      <w:rFonts w:eastAsia="Times New Roman"/>
      <w:lang w:val="nl-BE" w:eastAsia="nl-BE"/>
    </w:rPr>
  </w:style>
  <w:style w:type="paragraph" w:customStyle="1" w:styleId="Body">
    <w:name w:val="Body"/>
    <w:basedOn w:val="Plattetekst"/>
    <w:link w:val="BodyChar"/>
    <w:qFormat/>
    <w:rsid w:val="00EE42A9"/>
    <w:pPr>
      <w:spacing w:after="0" w:line="300" w:lineRule="auto"/>
      <w:jc w:val="both"/>
    </w:pPr>
    <w:rPr>
      <w:rFonts w:ascii="Cambria" w:eastAsia="Times New Roman" w:hAnsi="Cambria"/>
      <w:noProof/>
      <w:sz w:val="24"/>
      <w:szCs w:val="24"/>
      <w:lang w:eastAsia="nl-NL"/>
    </w:rPr>
  </w:style>
  <w:style w:type="character" w:customStyle="1" w:styleId="BodyChar">
    <w:name w:val="Body Char"/>
    <w:basedOn w:val="PlattetekstChar"/>
    <w:link w:val="Body"/>
    <w:rsid w:val="00EE42A9"/>
    <w:rPr>
      <w:rFonts w:ascii="Cambria" w:eastAsia="Times New Roman" w:hAnsi="Cambria" w:cs="Times New Roman"/>
      <w:noProof/>
      <w:sz w:val="24"/>
      <w:szCs w:val="24"/>
      <w:lang w:eastAsia="nl-NL"/>
    </w:rPr>
  </w:style>
  <w:style w:type="paragraph" w:customStyle="1" w:styleId="Default">
    <w:name w:val="Default"/>
    <w:rsid w:val="00EE42A9"/>
    <w:pPr>
      <w:suppressAutoHyphens/>
      <w:autoSpaceDE w:val="0"/>
      <w:spacing w:after="0" w:line="240" w:lineRule="auto"/>
    </w:pPr>
    <w:rPr>
      <w:rFonts w:ascii="Times New Roman" w:eastAsia="Arial" w:hAnsi="Times New Roman" w:cs="Times New Roman"/>
      <w:color w:val="000000"/>
      <w:kern w:val="1"/>
      <w:sz w:val="24"/>
      <w:szCs w:val="24"/>
      <w:lang w:eastAsia="ar-SA"/>
    </w:rPr>
  </w:style>
  <w:style w:type="paragraph" w:styleId="Plattetekst">
    <w:name w:val="Body Text"/>
    <w:basedOn w:val="Standaard"/>
    <w:link w:val="PlattetekstChar"/>
    <w:uiPriority w:val="99"/>
    <w:semiHidden/>
    <w:unhideWhenUsed/>
    <w:rsid w:val="00EE42A9"/>
    <w:pPr>
      <w:spacing w:after="120"/>
    </w:pPr>
  </w:style>
  <w:style w:type="character" w:customStyle="1" w:styleId="PlattetekstChar">
    <w:name w:val="Platte tekst Char"/>
    <w:basedOn w:val="Standaardalinea-lettertype"/>
    <w:link w:val="Plattetekst"/>
    <w:uiPriority w:val="99"/>
    <w:semiHidden/>
    <w:rsid w:val="00EE42A9"/>
    <w:rPr>
      <w:rFonts w:ascii="Calibri" w:eastAsia="Calibri" w:hAnsi="Calibri" w:cs="Times New Roman"/>
    </w:rPr>
  </w:style>
  <w:style w:type="character" w:customStyle="1" w:styleId="Voetnoottekens">
    <w:name w:val="Voetnoottekens"/>
    <w:basedOn w:val="Standaardalinea-lettertype"/>
    <w:rsid w:val="00EC74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76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4DB83-635D-4F84-A499-BFA50F9CC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3480</Words>
  <Characters>19140</Characters>
  <Application>Microsoft Office Word</Application>
  <DocSecurity>0</DocSecurity>
  <Lines>159</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April Pijpelink</cp:lastModifiedBy>
  <cp:revision>4</cp:revision>
  <dcterms:created xsi:type="dcterms:W3CDTF">2019-12-19T20:27:00Z</dcterms:created>
  <dcterms:modified xsi:type="dcterms:W3CDTF">2019-12-19T20:32:00Z</dcterms:modified>
</cp:coreProperties>
</file>